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107CD4" w:rsidRPr="00107CD4" w:rsidTr="005F7F7E">
        <w:tc>
          <w:tcPr>
            <w:tcW w:w="2438" w:type="dxa"/>
            <w:shd w:val="clear" w:color="auto" w:fill="auto"/>
          </w:tcPr>
          <w:p w:rsidR="00F445B1" w:rsidRPr="00107CD4" w:rsidRDefault="00F445B1" w:rsidP="004A6D2F">
            <w:pPr>
              <w:rPr>
                <w:rStyle w:val="Firstpagetablebold"/>
                <w:color w:val="auto"/>
              </w:rPr>
            </w:pPr>
            <w:r w:rsidRPr="00107CD4">
              <w:rPr>
                <w:rStyle w:val="Firstpagetablebold"/>
                <w:color w:val="auto"/>
              </w:rPr>
              <w:t>To</w:t>
            </w:r>
            <w:r w:rsidR="005C35A5" w:rsidRPr="00107CD4">
              <w:rPr>
                <w:rStyle w:val="Firstpagetablebold"/>
                <w:color w:val="auto"/>
              </w:rPr>
              <w:t>:</w:t>
            </w:r>
          </w:p>
        </w:tc>
        <w:tc>
          <w:tcPr>
            <w:tcW w:w="6406" w:type="dxa"/>
            <w:shd w:val="clear" w:color="auto" w:fill="auto"/>
          </w:tcPr>
          <w:p w:rsidR="00F445B1" w:rsidRPr="00107CD4" w:rsidRDefault="00221CB7" w:rsidP="004A6D2F">
            <w:pPr>
              <w:rPr>
                <w:rStyle w:val="Firstpagetablebold"/>
                <w:color w:val="auto"/>
              </w:rPr>
            </w:pPr>
            <w:r w:rsidRPr="00107CD4">
              <w:rPr>
                <w:rStyle w:val="Firstpagetablebold"/>
                <w:color w:val="auto"/>
              </w:rPr>
              <w:t>Chief Executive</w:t>
            </w:r>
          </w:p>
        </w:tc>
      </w:tr>
      <w:tr w:rsidR="00107CD4" w:rsidRPr="00107CD4" w:rsidTr="005F7F7E">
        <w:tc>
          <w:tcPr>
            <w:tcW w:w="2438" w:type="dxa"/>
            <w:shd w:val="clear" w:color="auto" w:fill="auto"/>
          </w:tcPr>
          <w:p w:rsidR="00F445B1" w:rsidRPr="00107CD4" w:rsidRDefault="00F445B1" w:rsidP="004A6D2F">
            <w:pPr>
              <w:rPr>
                <w:rStyle w:val="Firstpagetablebold"/>
                <w:color w:val="auto"/>
              </w:rPr>
            </w:pPr>
            <w:r w:rsidRPr="00107CD4">
              <w:rPr>
                <w:rStyle w:val="Firstpagetablebold"/>
                <w:color w:val="auto"/>
              </w:rPr>
              <w:t>Dat</w:t>
            </w:r>
            <w:r w:rsidR="005C35A5" w:rsidRPr="00107CD4">
              <w:rPr>
                <w:rStyle w:val="Firstpagetablebold"/>
                <w:color w:val="auto"/>
              </w:rPr>
              <w:t>e:</w:t>
            </w:r>
          </w:p>
        </w:tc>
        <w:tc>
          <w:tcPr>
            <w:tcW w:w="6406" w:type="dxa"/>
            <w:shd w:val="clear" w:color="auto" w:fill="auto"/>
          </w:tcPr>
          <w:p w:rsidR="00F445B1" w:rsidRPr="00107CD4" w:rsidRDefault="004C14CC" w:rsidP="005D0621">
            <w:pPr>
              <w:rPr>
                <w:b/>
                <w:color w:val="auto"/>
              </w:rPr>
            </w:pPr>
            <w:r>
              <w:rPr>
                <w:rStyle w:val="Firstpagetablebold"/>
                <w:color w:val="auto"/>
              </w:rPr>
              <w:t>31 March</w:t>
            </w:r>
            <w:r w:rsidR="00915633">
              <w:rPr>
                <w:rStyle w:val="Firstpagetablebold"/>
                <w:color w:val="auto"/>
              </w:rPr>
              <w:t xml:space="preserve"> </w:t>
            </w:r>
            <w:r w:rsidR="00221CB7" w:rsidRPr="00107CD4">
              <w:rPr>
                <w:rStyle w:val="Firstpagetablebold"/>
                <w:color w:val="auto"/>
              </w:rPr>
              <w:t>2020</w:t>
            </w:r>
          </w:p>
        </w:tc>
      </w:tr>
      <w:tr w:rsidR="00107CD4" w:rsidRPr="00107CD4" w:rsidTr="005F7F7E">
        <w:tc>
          <w:tcPr>
            <w:tcW w:w="2438" w:type="dxa"/>
            <w:shd w:val="clear" w:color="auto" w:fill="auto"/>
          </w:tcPr>
          <w:p w:rsidR="00F445B1" w:rsidRPr="00107CD4" w:rsidRDefault="00F445B1" w:rsidP="004A6D2F">
            <w:pPr>
              <w:rPr>
                <w:rStyle w:val="Firstpagetablebold"/>
                <w:color w:val="auto"/>
              </w:rPr>
            </w:pPr>
            <w:r w:rsidRPr="00107CD4">
              <w:rPr>
                <w:rStyle w:val="Firstpagetablebold"/>
                <w:color w:val="auto"/>
              </w:rPr>
              <w:t>Report of</w:t>
            </w:r>
            <w:r w:rsidR="005C35A5" w:rsidRPr="00107CD4">
              <w:rPr>
                <w:rStyle w:val="Firstpagetablebold"/>
                <w:color w:val="auto"/>
              </w:rPr>
              <w:t>:</w:t>
            </w:r>
          </w:p>
        </w:tc>
        <w:tc>
          <w:tcPr>
            <w:tcW w:w="6406" w:type="dxa"/>
            <w:shd w:val="clear" w:color="auto" w:fill="auto"/>
          </w:tcPr>
          <w:p w:rsidR="00F445B1" w:rsidRPr="00107CD4" w:rsidRDefault="00221CB7" w:rsidP="004A6D2F">
            <w:pPr>
              <w:rPr>
                <w:rStyle w:val="Firstpagetablebold"/>
                <w:color w:val="auto"/>
              </w:rPr>
            </w:pPr>
            <w:r w:rsidRPr="00107CD4">
              <w:rPr>
                <w:rStyle w:val="Firstpagetablebold"/>
                <w:color w:val="auto"/>
              </w:rPr>
              <w:t>Head of Law and Governance</w:t>
            </w:r>
          </w:p>
        </w:tc>
      </w:tr>
      <w:tr w:rsidR="00107CD4" w:rsidRPr="00107CD4" w:rsidTr="005F7F7E">
        <w:tc>
          <w:tcPr>
            <w:tcW w:w="2438" w:type="dxa"/>
            <w:shd w:val="clear" w:color="auto" w:fill="auto"/>
          </w:tcPr>
          <w:p w:rsidR="00F445B1" w:rsidRPr="00107CD4" w:rsidRDefault="00F445B1" w:rsidP="004A6D2F">
            <w:pPr>
              <w:rPr>
                <w:rStyle w:val="Firstpagetablebold"/>
                <w:color w:val="auto"/>
              </w:rPr>
            </w:pPr>
            <w:r w:rsidRPr="00107CD4">
              <w:rPr>
                <w:rStyle w:val="Firstpagetablebold"/>
                <w:color w:val="auto"/>
              </w:rPr>
              <w:t xml:space="preserve">Title of Report: </w:t>
            </w:r>
          </w:p>
        </w:tc>
        <w:tc>
          <w:tcPr>
            <w:tcW w:w="6406" w:type="dxa"/>
            <w:shd w:val="clear" w:color="auto" w:fill="auto"/>
          </w:tcPr>
          <w:p w:rsidR="00F445B1" w:rsidRPr="00107CD4" w:rsidRDefault="00221CB7" w:rsidP="005D33EF">
            <w:pPr>
              <w:rPr>
                <w:rStyle w:val="Firstpagetablebold"/>
                <w:color w:val="auto"/>
              </w:rPr>
            </w:pPr>
            <w:r w:rsidRPr="00107CD4">
              <w:rPr>
                <w:rStyle w:val="Firstpagetablebold"/>
                <w:color w:val="auto"/>
              </w:rPr>
              <w:t xml:space="preserve">Use of the emergency powers </w:t>
            </w:r>
            <w:r w:rsidR="005D33EF" w:rsidRPr="00107CD4">
              <w:rPr>
                <w:rStyle w:val="Firstpagetablebold"/>
                <w:color w:val="auto"/>
              </w:rPr>
              <w:t>delegated to the</w:t>
            </w:r>
            <w:r w:rsidR="00E41FC6">
              <w:rPr>
                <w:rStyle w:val="Firstpagetablebold"/>
                <w:color w:val="auto"/>
              </w:rPr>
              <w:t xml:space="preserve"> Head of Paid Service</w:t>
            </w:r>
            <w:r w:rsidR="005D33EF" w:rsidRPr="00107CD4">
              <w:rPr>
                <w:rStyle w:val="Firstpagetablebold"/>
                <w:color w:val="auto"/>
              </w:rPr>
              <w:t xml:space="preserve"> </w:t>
            </w:r>
            <w:r w:rsidR="00E41FC6">
              <w:rPr>
                <w:rStyle w:val="Firstpagetablebold"/>
                <w:color w:val="auto"/>
              </w:rPr>
              <w:t>(</w:t>
            </w:r>
            <w:r w:rsidR="005D33EF" w:rsidRPr="00107CD4">
              <w:rPr>
                <w:rStyle w:val="Firstpagetablebold"/>
                <w:color w:val="auto"/>
              </w:rPr>
              <w:t>Chief Executive</w:t>
            </w:r>
            <w:r w:rsidR="00E41FC6">
              <w:rPr>
                <w:rStyle w:val="Firstpagetablebold"/>
                <w:color w:val="auto"/>
              </w:rPr>
              <w:t>)</w:t>
            </w:r>
            <w:r w:rsidR="005D33EF" w:rsidRPr="00107CD4">
              <w:rPr>
                <w:rStyle w:val="Firstpagetablebold"/>
                <w:color w:val="auto"/>
              </w:rPr>
              <w:t xml:space="preserve"> </w:t>
            </w:r>
            <w:r w:rsidRPr="00107CD4">
              <w:rPr>
                <w:rStyle w:val="Firstpagetablebold"/>
                <w:color w:val="auto"/>
              </w:rPr>
              <w:t xml:space="preserve">to </w:t>
            </w:r>
            <w:r w:rsidR="002E1479" w:rsidRPr="00107CD4">
              <w:rPr>
                <w:rStyle w:val="Firstpagetablebold"/>
                <w:color w:val="auto"/>
              </w:rPr>
              <w:t>adopt a</w:t>
            </w:r>
            <w:r w:rsidRPr="00107CD4">
              <w:rPr>
                <w:rStyle w:val="Firstpagetablebold"/>
                <w:color w:val="auto"/>
              </w:rPr>
              <w:t xml:space="preserve"> temporary </w:t>
            </w:r>
            <w:r w:rsidR="005D33EF" w:rsidRPr="00107CD4">
              <w:rPr>
                <w:rStyle w:val="Firstpagetablebold"/>
                <w:color w:val="auto"/>
              </w:rPr>
              <w:t xml:space="preserve">“business continuity” </w:t>
            </w:r>
            <w:r w:rsidR="002E1479" w:rsidRPr="00107CD4">
              <w:rPr>
                <w:rStyle w:val="Firstpagetablebold"/>
                <w:color w:val="auto"/>
              </w:rPr>
              <w:t>version of</w:t>
            </w:r>
            <w:r w:rsidRPr="00107CD4">
              <w:rPr>
                <w:rStyle w:val="Firstpagetablebold"/>
                <w:color w:val="auto"/>
              </w:rPr>
              <w:t xml:space="preserve"> the Oxford City Council </w:t>
            </w:r>
            <w:r w:rsidR="005D33EF" w:rsidRPr="00107CD4">
              <w:rPr>
                <w:rStyle w:val="Firstpagetablebold"/>
                <w:color w:val="auto"/>
              </w:rPr>
              <w:t>Constitution</w:t>
            </w:r>
          </w:p>
        </w:tc>
      </w:tr>
    </w:tbl>
    <w:p w:rsidR="004F20EF" w:rsidRPr="00107CD4" w:rsidRDefault="004F20EF" w:rsidP="004A6D2F">
      <w:pPr>
        <w:rPr>
          <w:color w:val="auto"/>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107CD4" w:rsidRPr="00107CD4" w:rsidTr="0080749A">
        <w:tc>
          <w:tcPr>
            <w:tcW w:w="8845" w:type="dxa"/>
            <w:gridSpan w:val="3"/>
            <w:tcBorders>
              <w:bottom w:val="single" w:sz="8" w:space="0" w:color="000000"/>
            </w:tcBorders>
            <w:hideMark/>
          </w:tcPr>
          <w:p w:rsidR="00D5547E" w:rsidRPr="00107CD4" w:rsidRDefault="00745BF0" w:rsidP="00745BF0">
            <w:pPr>
              <w:jc w:val="center"/>
              <w:rPr>
                <w:rStyle w:val="Firstpagetablebold"/>
                <w:color w:val="auto"/>
              </w:rPr>
            </w:pPr>
            <w:r w:rsidRPr="00107CD4">
              <w:rPr>
                <w:rStyle w:val="Firstpagetablebold"/>
                <w:color w:val="auto"/>
              </w:rPr>
              <w:t>Summary and r</w:t>
            </w:r>
            <w:r w:rsidR="00D5547E" w:rsidRPr="00107CD4">
              <w:rPr>
                <w:rStyle w:val="Firstpagetablebold"/>
                <w:color w:val="auto"/>
              </w:rPr>
              <w:t>ecommendations</w:t>
            </w:r>
          </w:p>
        </w:tc>
      </w:tr>
      <w:tr w:rsidR="00107CD4" w:rsidRPr="00107CD4" w:rsidTr="0080749A">
        <w:tc>
          <w:tcPr>
            <w:tcW w:w="2438" w:type="dxa"/>
            <w:gridSpan w:val="2"/>
            <w:tcBorders>
              <w:top w:val="single" w:sz="8" w:space="0" w:color="000000"/>
              <w:left w:val="single" w:sz="8" w:space="0" w:color="000000"/>
              <w:bottom w:val="nil"/>
              <w:right w:val="nil"/>
            </w:tcBorders>
            <w:hideMark/>
          </w:tcPr>
          <w:p w:rsidR="00D5547E" w:rsidRPr="00107CD4" w:rsidRDefault="00D5547E">
            <w:pPr>
              <w:rPr>
                <w:rStyle w:val="Firstpagetablebold"/>
                <w:color w:val="auto"/>
              </w:rPr>
            </w:pPr>
            <w:r w:rsidRPr="00107CD4">
              <w:rPr>
                <w:rStyle w:val="Firstpagetablebold"/>
                <w:color w:val="auto"/>
              </w:rPr>
              <w:t>Purpose of report:</w:t>
            </w:r>
          </w:p>
        </w:tc>
        <w:tc>
          <w:tcPr>
            <w:tcW w:w="6407" w:type="dxa"/>
            <w:tcBorders>
              <w:top w:val="single" w:sz="8" w:space="0" w:color="000000"/>
              <w:left w:val="nil"/>
              <w:bottom w:val="nil"/>
              <w:right w:val="single" w:sz="8" w:space="0" w:color="000000"/>
            </w:tcBorders>
            <w:hideMark/>
          </w:tcPr>
          <w:p w:rsidR="00D5547E" w:rsidRPr="00107CD4" w:rsidRDefault="00221CB7" w:rsidP="005D33EF">
            <w:pPr>
              <w:rPr>
                <w:color w:val="auto"/>
              </w:rPr>
            </w:pPr>
            <w:r w:rsidRPr="00107CD4">
              <w:rPr>
                <w:color w:val="auto"/>
              </w:rPr>
              <w:t xml:space="preserve">To recommend the use of the Chief Executive’s emergency powers to </w:t>
            </w:r>
            <w:r w:rsidR="005D33EF" w:rsidRPr="00107CD4">
              <w:rPr>
                <w:color w:val="auto"/>
              </w:rPr>
              <w:t>adopt a “business continuity” version of t</w:t>
            </w:r>
            <w:r w:rsidRPr="00107CD4">
              <w:rPr>
                <w:color w:val="auto"/>
              </w:rPr>
              <w:t xml:space="preserve">he Council’s Constitution whilst business continuity measures are invoked during the </w:t>
            </w:r>
            <w:proofErr w:type="spellStart"/>
            <w:r w:rsidRPr="00107CD4">
              <w:rPr>
                <w:color w:val="auto"/>
              </w:rPr>
              <w:t>Covid</w:t>
            </w:r>
            <w:proofErr w:type="spellEnd"/>
            <w:r w:rsidRPr="00107CD4">
              <w:rPr>
                <w:color w:val="auto"/>
              </w:rPr>
              <w:t xml:space="preserve"> 19 pandemic.</w:t>
            </w:r>
          </w:p>
        </w:tc>
      </w:tr>
      <w:tr w:rsidR="00107CD4" w:rsidRPr="00107CD4" w:rsidTr="0080749A">
        <w:tc>
          <w:tcPr>
            <w:tcW w:w="2438" w:type="dxa"/>
            <w:gridSpan w:val="2"/>
            <w:tcBorders>
              <w:top w:val="nil"/>
              <w:left w:val="single" w:sz="8" w:space="0" w:color="000000"/>
              <w:bottom w:val="nil"/>
              <w:right w:val="nil"/>
            </w:tcBorders>
            <w:hideMark/>
          </w:tcPr>
          <w:p w:rsidR="00D5547E" w:rsidRPr="00107CD4" w:rsidRDefault="00D5547E">
            <w:pPr>
              <w:rPr>
                <w:rStyle w:val="Firstpagetablebold"/>
                <w:color w:val="auto"/>
              </w:rPr>
            </w:pPr>
            <w:r w:rsidRPr="00107CD4">
              <w:rPr>
                <w:rStyle w:val="Firstpagetablebold"/>
                <w:color w:val="auto"/>
              </w:rPr>
              <w:t>Key decision:</w:t>
            </w:r>
          </w:p>
        </w:tc>
        <w:tc>
          <w:tcPr>
            <w:tcW w:w="6407" w:type="dxa"/>
            <w:tcBorders>
              <w:top w:val="nil"/>
              <w:left w:val="nil"/>
              <w:bottom w:val="nil"/>
              <w:right w:val="single" w:sz="8" w:space="0" w:color="000000"/>
            </w:tcBorders>
            <w:hideMark/>
          </w:tcPr>
          <w:p w:rsidR="00D5547E" w:rsidRPr="00107CD4" w:rsidRDefault="00221CB7" w:rsidP="005F7F7E">
            <w:pPr>
              <w:rPr>
                <w:color w:val="auto"/>
              </w:rPr>
            </w:pPr>
            <w:r w:rsidRPr="00107CD4">
              <w:rPr>
                <w:color w:val="auto"/>
              </w:rPr>
              <w:t>No</w:t>
            </w:r>
          </w:p>
        </w:tc>
      </w:tr>
      <w:tr w:rsidR="00107CD4" w:rsidRPr="00107CD4" w:rsidTr="0080749A">
        <w:tc>
          <w:tcPr>
            <w:tcW w:w="2438" w:type="dxa"/>
            <w:gridSpan w:val="2"/>
            <w:tcBorders>
              <w:top w:val="nil"/>
              <w:left w:val="single" w:sz="8" w:space="0" w:color="000000"/>
              <w:bottom w:val="nil"/>
              <w:right w:val="nil"/>
            </w:tcBorders>
            <w:hideMark/>
          </w:tcPr>
          <w:p w:rsidR="00D5547E" w:rsidRPr="00107CD4" w:rsidRDefault="00D860E2">
            <w:pPr>
              <w:rPr>
                <w:rStyle w:val="Firstpagetablebold"/>
                <w:color w:val="auto"/>
              </w:rPr>
            </w:pPr>
            <w:r w:rsidRPr="00107CD4">
              <w:rPr>
                <w:rStyle w:val="Firstpagetablebold"/>
                <w:color w:val="auto"/>
              </w:rPr>
              <w:t>Cabinet</w:t>
            </w:r>
            <w:r w:rsidR="00D5547E" w:rsidRPr="00107CD4">
              <w:rPr>
                <w:rStyle w:val="Firstpagetablebold"/>
                <w:color w:val="auto"/>
              </w:rPr>
              <w:t xml:space="preserve"> Member:</w:t>
            </w:r>
          </w:p>
        </w:tc>
        <w:tc>
          <w:tcPr>
            <w:tcW w:w="6407" w:type="dxa"/>
            <w:tcBorders>
              <w:top w:val="nil"/>
              <w:left w:val="nil"/>
              <w:bottom w:val="nil"/>
              <w:right w:val="single" w:sz="8" w:space="0" w:color="000000"/>
            </w:tcBorders>
            <w:hideMark/>
          </w:tcPr>
          <w:p w:rsidR="00D5547E" w:rsidRPr="00107CD4" w:rsidRDefault="00221CB7" w:rsidP="005F7F7E">
            <w:pPr>
              <w:rPr>
                <w:color w:val="auto"/>
              </w:rPr>
            </w:pPr>
            <w:r w:rsidRPr="00107CD4">
              <w:rPr>
                <w:color w:val="auto"/>
              </w:rPr>
              <w:t>Councillor Susan Brown, Leader of the Council.</w:t>
            </w:r>
          </w:p>
        </w:tc>
      </w:tr>
      <w:tr w:rsidR="00107CD4" w:rsidRPr="00107CD4" w:rsidTr="00846902">
        <w:trPr>
          <w:trHeight w:val="413"/>
        </w:trPr>
        <w:tc>
          <w:tcPr>
            <w:tcW w:w="8845" w:type="dxa"/>
            <w:gridSpan w:val="3"/>
            <w:tcBorders>
              <w:bottom w:val="single" w:sz="8" w:space="0" w:color="000000"/>
            </w:tcBorders>
          </w:tcPr>
          <w:p w:rsidR="005F7F7E" w:rsidRPr="00107CD4" w:rsidRDefault="005F7F7E" w:rsidP="00AC63A5">
            <w:pPr>
              <w:rPr>
                <w:color w:val="auto"/>
              </w:rPr>
            </w:pPr>
            <w:r w:rsidRPr="00107CD4">
              <w:rPr>
                <w:rStyle w:val="Firstpagetablebold"/>
                <w:color w:val="auto"/>
              </w:rPr>
              <w:t>Recommendation(s):</w:t>
            </w:r>
            <w:r w:rsidR="00AC63A5" w:rsidRPr="00107CD4">
              <w:rPr>
                <w:rStyle w:val="Firstpagetablebold"/>
                <w:color w:val="auto"/>
              </w:rPr>
              <w:t xml:space="preserve"> </w:t>
            </w:r>
            <w:r w:rsidRPr="00107CD4">
              <w:rPr>
                <w:rStyle w:val="Firstpagetablebold"/>
                <w:color w:val="auto"/>
              </w:rPr>
              <w:t xml:space="preserve">That </w:t>
            </w:r>
            <w:r w:rsidR="00221CB7" w:rsidRPr="00107CD4">
              <w:rPr>
                <w:rStyle w:val="Firstpagetablebold"/>
                <w:color w:val="auto"/>
              </w:rPr>
              <w:t>the Chief Executive</w:t>
            </w:r>
            <w:r w:rsidR="00AC63A5" w:rsidRPr="00107CD4">
              <w:rPr>
                <w:rStyle w:val="Firstpagetablebold"/>
                <w:color w:val="auto"/>
              </w:rPr>
              <w:t xml:space="preserve"> resolves to</w:t>
            </w:r>
            <w:r w:rsidRPr="00107CD4">
              <w:rPr>
                <w:rStyle w:val="Firstpagetablebold"/>
                <w:color w:val="auto"/>
              </w:rPr>
              <w:t>:</w:t>
            </w:r>
          </w:p>
        </w:tc>
      </w:tr>
      <w:tr w:rsidR="00107CD4" w:rsidRPr="00107CD4" w:rsidTr="00221CB7">
        <w:trPr>
          <w:trHeight w:val="283"/>
        </w:trPr>
        <w:tc>
          <w:tcPr>
            <w:tcW w:w="426" w:type="dxa"/>
            <w:tcBorders>
              <w:top w:val="single" w:sz="8" w:space="0" w:color="000000"/>
              <w:left w:val="single" w:sz="8" w:space="0" w:color="000000"/>
              <w:bottom w:val="nil"/>
              <w:right w:val="nil"/>
            </w:tcBorders>
          </w:tcPr>
          <w:p w:rsidR="0030208D" w:rsidRPr="00107CD4" w:rsidRDefault="00046D2B" w:rsidP="004A6D2F">
            <w:pPr>
              <w:rPr>
                <w:color w:val="auto"/>
              </w:rPr>
            </w:pPr>
            <w:r w:rsidRPr="00107CD4">
              <w:rPr>
                <w:color w:val="auto"/>
              </w:rPr>
              <w:t>1.</w:t>
            </w:r>
          </w:p>
        </w:tc>
        <w:tc>
          <w:tcPr>
            <w:tcW w:w="8419" w:type="dxa"/>
            <w:gridSpan w:val="2"/>
            <w:tcBorders>
              <w:top w:val="single" w:sz="8" w:space="0" w:color="000000"/>
              <w:left w:val="nil"/>
              <w:bottom w:val="nil"/>
              <w:right w:val="single" w:sz="8" w:space="0" w:color="000000"/>
            </w:tcBorders>
            <w:shd w:val="clear" w:color="auto" w:fill="auto"/>
          </w:tcPr>
          <w:p w:rsidR="0030208D" w:rsidRPr="00107CD4" w:rsidRDefault="005D33EF" w:rsidP="00731BA0">
            <w:pPr>
              <w:rPr>
                <w:color w:val="auto"/>
              </w:rPr>
            </w:pPr>
            <w:r w:rsidRPr="00107CD4">
              <w:rPr>
                <w:rStyle w:val="Firstpagetablebold"/>
                <w:color w:val="auto"/>
              </w:rPr>
              <w:t xml:space="preserve">Adopt </w:t>
            </w:r>
            <w:r w:rsidR="00F304CF" w:rsidRPr="00107CD4">
              <w:rPr>
                <w:rStyle w:val="Firstpagetablebold"/>
                <w:b w:val="0"/>
                <w:color w:val="auto"/>
              </w:rPr>
              <w:t xml:space="preserve">for a temporary period while business continuity </w:t>
            </w:r>
            <w:r w:rsidR="00731BA0">
              <w:rPr>
                <w:rStyle w:val="Firstpagetablebold"/>
                <w:b w:val="0"/>
                <w:color w:val="auto"/>
              </w:rPr>
              <w:t xml:space="preserve">measures are invoked during </w:t>
            </w:r>
            <w:r w:rsidR="00F304CF" w:rsidRPr="00107CD4">
              <w:rPr>
                <w:rStyle w:val="Firstpagetablebold"/>
                <w:b w:val="0"/>
                <w:color w:val="auto"/>
              </w:rPr>
              <w:t xml:space="preserve">the </w:t>
            </w:r>
            <w:proofErr w:type="spellStart"/>
            <w:r w:rsidR="00F304CF" w:rsidRPr="00107CD4">
              <w:rPr>
                <w:rStyle w:val="Firstpagetablebold"/>
                <w:b w:val="0"/>
                <w:color w:val="auto"/>
              </w:rPr>
              <w:t>Covid</w:t>
            </w:r>
            <w:proofErr w:type="spellEnd"/>
            <w:r w:rsidR="00F304CF" w:rsidRPr="00107CD4">
              <w:rPr>
                <w:rStyle w:val="Firstpagetablebold"/>
                <w:b w:val="0"/>
                <w:color w:val="auto"/>
              </w:rPr>
              <w:t xml:space="preserve"> 19 pandemic</w:t>
            </w:r>
            <w:r w:rsidR="00F304CF" w:rsidRPr="00107CD4">
              <w:rPr>
                <w:rStyle w:val="Firstpagetablebold"/>
                <w:color w:val="auto"/>
              </w:rPr>
              <w:t xml:space="preserve"> </w:t>
            </w:r>
            <w:r w:rsidRPr="00107CD4">
              <w:rPr>
                <w:rStyle w:val="Firstpagetablebold"/>
                <w:b w:val="0"/>
                <w:color w:val="auto"/>
              </w:rPr>
              <w:t>a revised version of t</w:t>
            </w:r>
            <w:r w:rsidR="00221CB7" w:rsidRPr="00107CD4">
              <w:rPr>
                <w:rStyle w:val="Firstpagetablebold"/>
                <w:b w:val="0"/>
                <w:color w:val="auto"/>
              </w:rPr>
              <w:t xml:space="preserve">he </w:t>
            </w:r>
            <w:r w:rsidR="0086340F" w:rsidRPr="00107CD4">
              <w:rPr>
                <w:rStyle w:val="Firstpagetablebold"/>
                <w:b w:val="0"/>
                <w:color w:val="auto"/>
              </w:rPr>
              <w:t xml:space="preserve">Oxford City Council </w:t>
            </w:r>
            <w:r w:rsidRPr="00107CD4">
              <w:rPr>
                <w:rStyle w:val="Firstpagetablebold"/>
                <w:b w:val="0"/>
                <w:color w:val="auto"/>
              </w:rPr>
              <w:t xml:space="preserve">Constitution </w:t>
            </w:r>
            <w:r w:rsidR="0086340F" w:rsidRPr="00107CD4">
              <w:rPr>
                <w:rStyle w:val="Firstpagetablebold"/>
                <w:b w:val="0"/>
                <w:color w:val="auto"/>
              </w:rPr>
              <w:t xml:space="preserve">using </w:t>
            </w:r>
            <w:r w:rsidR="00846902" w:rsidRPr="00107CD4">
              <w:rPr>
                <w:rStyle w:val="Firstpagetablebold"/>
                <w:b w:val="0"/>
                <w:color w:val="auto"/>
              </w:rPr>
              <w:t xml:space="preserve">the </w:t>
            </w:r>
            <w:r w:rsidR="00221CB7" w:rsidRPr="00107CD4">
              <w:rPr>
                <w:rStyle w:val="Firstpagetablebold"/>
                <w:b w:val="0"/>
                <w:color w:val="auto"/>
              </w:rPr>
              <w:t xml:space="preserve">emergency powers </w:t>
            </w:r>
            <w:r w:rsidRPr="00107CD4">
              <w:rPr>
                <w:rStyle w:val="Firstpagetablebold"/>
                <w:b w:val="0"/>
                <w:color w:val="auto"/>
              </w:rPr>
              <w:t>delegated i</w:t>
            </w:r>
            <w:r w:rsidR="00221CB7" w:rsidRPr="00107CD4">
              <w:rPr>
                <w:rStyle w:val="Firstpagetablebold"/>
                <w:b w:val="0"/>
                <w:color w:val="auto"/>
              </w:rPr>
              <w:t>n Part 9.3</w:t>
            </w:r>
            <w:r w:rsidR="000F5189" w:rsidRPr="00107CD4">
              <w:rPr>
                <w:rStyle w:val="Firstpagetablebold"/>
                <w:b w:val="0"/>
                <w:color w:val="auto"/>
              </w:rPr>
              <w:t>(c)</w:t>
            </w:r>
            <w:r w:rsidR="00221CB7" w:rsidRPr="00107CD4">
              <w:rPr>
                <w:rStyle w:val="Firstpagetablebold"/>
                <w:b w:val="0"/>
                <w:color w:val="auto"/>
              </w:rPr>
              <w:t xml:space="preserve"> of the Constitution</w:t>
            </w:r>
            <w:r w:rsidR="00846902" w:rsidRPr="00107CD4">
              <w:rPr>
                <w:rStyle w:val="Firstpagetablebold"/>
                <w:b w:val="0"/>
                <w:color w:val="auto"/>
              </w:rPr>
              <w:t>,</w:t>
            </w:r>
            <w:r w:rsidR="005C4663" w:rsidRPr="00107CD4">
              <w:rPr>
                <w:rStyle w:val="Firstpagetablebold"/>
                <w:b w:val="0"/>
                <w:color w:val="auto"/>
              </w:rPr>
              <w:t xml:space="preserve"> based on the revisions to the Constitution adopted by Council on 27 January 2020 set out in Appendix 1</w:t>
            </w:r>
            <w:r w:rsidR="00221CB7" w:rsidRPr="00107CD4">
              <w:rPr>
                <w:rStyle w:val="Firstpagetablebold"/>
                <w:b w:val="0"/>
                <w:color w:val="auto"/>
              </w:rPr>
              <w:t xml:space="preserve"> </w:t>
            </w:r>
            <w:r w:rsidRPr="00107CD4">
              <w:rPr>
                <w:rStyle w:val="Firstpagetablebold"/>
                <w:b w:val="0"/>
                <w:color w:val="auto"/>
              </w:rPr>
              <w:t>that</w:t>
            </w:r>
            <w:r w:rsidR="00221CB7" w:rsidRPr="00107CD4">
              <w:rPr>
                <w:color w:val="auto"/>
              </w:rPr>
              <w:t>:</w:t>
            </w:r>
          </w:p>
        </w:tc>
      </w:tr>
      <w:tr w:rsidR="00107CD4" w:rsidRPr="00107CD4" w:rsidTr="00221CB7">
        <w:trPr>
          <w:trHeight w:val="283"/>
        </w:trPr>
        <w:tc>
          <w:tcPr>
            <w:tcW w:w="426" w:type="dxa"/>
            <w:tcBorders>
              <w:top w:val="nil"/>
              <w:left w:val="single" w:sz="8" w:space="0" w:color="000000"/>
              <w:bottom w:val="nil"/>
              <w:right w:val="nil"/>
            </w:tcBorders>
          </w:tcPr>
          <w:p w:rsidR="0030208D" w:rsidRPr="00107CD4" w:rsidRDefault="0030208D" w:rsidP="004A6D2F">
            <w:pPr>
              <w:rPr>
                <w:color w:val="auto"/>
              </w:rPr>
            </w:pPr>
          </w:p>
        </w:tc>
        <w:tc>
          <w:tcPr>
            <w:tcW w:w="8419" w:type="dxa"/>
            <w:gridSpan w:val="2"/>
            <w:tcBorders>
              <w:top w:val="nil"/>
              <w:left w:val="nil"/>
              <w:bottom w:val="nil"/>
              <w:right w:val="single" w:sz="8" w:space="0" w:color="000000"/>
            </w:tcBorders>
            <w:shd w:val="clear" w:color="auto" w:fill="auto"/>
          </w:tcPr>
          <w:p w:rsidR="0030208D" w:rsidRPr="00107CD4" w:rsidRDefault="00553F02" w:rsidP="00221CB7">
            <w:pPr>
              <w:pStyle w:val="ListParagraph"/>
              <w:numPr>
                <w:ilvl w:val="0"/>
                <w:numId w:val="34"/>
              </w:numPr>
              <w:rPr>
                <w:color w:val="auto"/>
              </w:rPr>
            </w:pPr>
            <w:r w:rsidRPr="00107CD4">
              <w:rPr>
                <w:color w:val="auto"/>
              </w:rPr>
              <w:t>Authorise</w:t>
            </w:r>
            <w:r w:rsidR="00221CB7" w:rsidRPr="00107CD4">
              <w:rPr>
                <w:color w:val="auto"/>
              </w:rPr>
              <w:t xml:space="preserve"> the </w:t>
            </w:r>
            <w:r w:rsidRPr="00107CD4">
              <w:rPr>
                <w:color w:val="auto"/>
              </w:rPr>
              <w:t>Chief Executive</w:t>
            </w:r>
            <w:r w:rsidR="00221CB7" w:rsidRPr="00107CD4">
              <w:rPr>
                <w:color w:val="auto"/>
              </w:rPr>
              <w:t xml:space="preserve"> to </w:t>
            </w:r>
            <w:r w:rsidRPr="00107CD4">
              <w:rPr>
                <w:color w:val="auto"/>
              </w:rPr>
              <w:t>cancel</w:t>
            </w:r>
            <w:r w:rsidR="00221CB7" w:rsidRPr="00107CD4">
              <w:rPr>
                <w:color w:val="auto"/>
              </w:rPr>
              <w:t xml:space="preserve"> and to </w:t>
            </w:r>
            <w:r w:rsidRPr="00107CD4">
              <w:rPr>
                <w:color w:val="auto"/>
              </w:rPr>
              <w:t>call</w:t>
            </w:r>
            <w:r w:rsidR="00341B6C" w:rsidRPr="00107CD4">
              <w:rPr>
                <w:color w:val="auto"/>
              </w:rPr>
              <w:t xml:space="preserve"> meeting</w:t>
            </w:r>
            <w:r w:rsidRPr="00107CD4">
              <w:rPr>
                <w:color w:val="auto"/>
              </w:rPr>
              <w:t>s</w:t>
            </w:r>
            <w:r w:rsidR="00221CB7" w:rsidRPr="00107CD4">
              <w:rPr>
                <w:color w:val="auto"/>
              </w:rPr>
              <w:t xml:space="preserve"> of Coun</w:t>
            </w:r>
            <w:r w:rsidRPr="00107CD4">
              <w:rPr>
                <w:color w:val="auto"/>
              </w:rPr>
              <w:t>cil without consultation (Part</w:t>
            </w:r>
            <w:r w:rsidR="0086340F" w:rsidRPr="00107CD4">
              <w:rPr>
                <w:color w:val="auto"/>
              </w:rPr>
              <w:t>s</w:t>
            </w:r>
            <w:r w:rsidRPr="00107CD4">
              <w:rPr>
                <w:color w:val="auto"/>
              </w:rPr>
              <w:t xml:space="preserve"> 11</w:t>
            </w:r>
            <w:r w:rsidR="0086340F" w:rsidRPr="00107CD4">
              <w:rPr>
                <w:color w:val="auto"/>
              </w:rPr>
              <w:t>.5 and 11.6</w:t>
            </w:r>
            <w:r w:rsidRPr="00107CD4">
              <w:rPr>
                <w:color w:val="auto"/>
              </w:rPr>
              <w:t>)</w:t>
            </w:r>
            <w:r w:rsidR="00221CB7" w:rsidRPr="00107CD4">
              <w:rPr>
                <w:color w:val="auto"/>
              </w:rPr>
              <w:t>.</w:t>
            </w:r>
          </w:p>
          <w:p w:rsidR="00553F02" w:rsidRPr="00107CD4" w:rsidRDefault="00553F02" w:rsidP="00221CB7">
            <w:pPr>
              <w:pStyle w:val="ListParagraph"/>
              <w:numPr>
                <w:ilvl w:val="0"/>
                <w:numId w:val="34"/>
              </w:numPr>
              <w:rPr>
                <w:color w:val="auto"/>
              </w:rPr>
            </w:pPr>
            <w:r w:rsidRPr="00107CD4">
              <w:rPr>
                <w:color w:val="auto"/>
              </w:rPr>
              <w:t>Authorise the Head of Law and Governance to cancel and to call meetings of non-executive committees and sub-committees</w:t>
            </w:r>
            <w:r w:rsidR="0086340F" w:rsidRPr="00107CD4">
              <w:rPr>
                <w:color w:val="auto"/>
              </w:rPr>
              <w:t xml:space="preserve"> without consultation, including cancelling meetings where there would be sufficient business for a meeting to take place (Parts 13.4 &amp; 14.6).</w:t>
            </w:r>
          </w:p>
          <w:p w:rsidR="000F5189" w:rsidRPr="00107CD4" w:rsidRDefault="00553F02" w:rsidP="000F5189">
            <w:pPr>
              <w:pStyle w:val="ListParagraph"/>
              <w:numPr>
                <w:ilvl w:val="0"/>
                <w:numId w:val="34"/>
              </w:numPr>
              <w:rPr>
                <w:color w:val="auto"/>
              </w:rPr>
            </w:pPr>
            <w:r w:rsidRPr="00107CD4">
              <w:rPr>
                <w:color w:val="auto"/>
              </w:rPr>
              <w:t>Clarif</w:t>
            </w:r>
            <w:r w:rsidR="005C4663" w:rsidRPr="00107CD4">
              <w:rPr>
                <w:color w:val="auto"/>
              </w:rPr>
              <w:t>y</w:t>
            </w:r>
            <w:r w:rsidR="005D33EF" w:rsidRPr="00107CD4">
              <w:rPr>
                <w:color w:val="auto"/>
              </w:rPr>
              <w:t xml:space="preserve"> the arrangements for</w:t>
            </w:r>
            <w:r w:rsidR="000F5189" w:rsidRPr="00107CD4">
              <w:rPr>
                <w:color w:val="auto"/>
              </w:rPr>
              <w:t xml:space="preserve"> single Cabinet Member decision making</w:t>
            </w:r>
            <w:r w:rsidR="005D33EF" w:rsidRPr="00107CD4">
              <w:rPr>
                <w:color w:val="auto"/>
              </w:rPr>
              <w:t>, should the Leader choose to delegate any executive decisions</w:t>
            </w:r>
            <w:r w:rsidR="005C4663" w:rsidRPr="00107CD4">
              <w:rPr>
                <w:color w:val="auto"/>
              </w:rPr>
              <w:t xml:space="preserve"> currently reserved to Cabinet</w:t>
            </w:r>
            <w:r w:rsidR="005D33EF" w:rsidRPr="00107CD4">
              <w:rPr>
                <w:color w:val="auto"/>
              </w:rPr>
              <w:t xml:space="preserve"> to </w:t>
            </w:r>
            <w:r w:rsidR="005C4663" w:rsidRPr="00107CD4">
              <w:rPr>
                <w:color w:val="auto"/>
              </w:rPr>
              <w:t>individual</w:t>
            </w:r>
            <w:r w:rsidR="005D33EF" w:rsidRPr="00107CD4">
              <w:rPr>
                <w:color w:val="auto"/>
              </w:rPr>
              <w:t xml:space="preserve"> Cabinet Members</w:t>
            </w:r>
            <w:r w:rsidR="000F5189" w:rsidRPr="00107CD4">
              <w:rPr>
                <w:color w:val="auto"/>
              </w:rPr>
              <w:t>.</w:t>
            </w:r>
          </w:p>
          <w:p w:rsidR="00915633" w:rsidRDefault="00915633" w:rsidP="00221CB7">
            <w:pPr>
              <w:pStyle w:val="ListParagraph"/>
              <w:numPr>
                <w:ilvl w:val="0"/>
                <w:numId w:val="34"/>
              </w:numPr>
              <w:rPr>
                <w:color w:val="auto"/>
              </w:rPr>
            </w:pPr>
            <w:r w:rsidRPr="00915633">
              <w:rPr>
                <w:color w:val="auto"/>
              </w:rPr>
              <w:t>Authorise the Head of Planning Services to determine planning applications normally reserved to area planning committees (Part 5.3) in accordance with a protocol (Appendix 2), until such a time as meetings can be convened.</w:t>
            </w:r>
            <w:r>
              <w:rPr>
                <w:color w:val="auto"/>
              </w:rPr>
              <w:t xml:space="preserve"> </w:t>
            </w:r>
          </w:p>
          <w:p w:rsidR="00553F02" w:rsidRPr="00107CD4" w:rsidRDefault="00553F02" w:rsidP="00221CB7">
            <w:pPr>
              <w:pStyle w:val="ListParagraph"/>
              <w:numPr>
                <w:ilvl w:val="0"/>
                <w:numId w:val="34"/>
              </w:numPr>
              <w:rPr>
                <w:color w:val="auto"/>
              </w:rPr>
            </w:pPr>
            <w:r w:rsidRPr="00107CD4">
              <w:rPr>
                <w:color w:val="auto"/>
              </w:rPr>
              <w:lastRenderedPageBreak/>
              <w:t xml:space="preserve">Suspend the call in procedures (Part 17) for </w:t>
            </w:r>
            <w:r w:rsidR="005D33EF" w:rsidRPr="00107CD4">
              <w:rPr>
                <w:color w:val="auto"/>
              </w:rPr>
              <w:t xml:space="preserve">all </w:t>
            </w:r>
            <w:r w:rsidRPr="00107CD4">
              <w:rPr>
                <w:color w:val="auto"/>
              </w:rPr>
              <w:t xml:space="preserve">executive and planning decisions </w:t>
            </w:r>
            <w:r w:rsidR="00D41F33" w:rsidRPr="00107CD4">
              <w:rPr>
                <w:color w:val="auto"/>
              </w:rPr>
              <w:t>until such a time as meetings can be convened</w:t>
            </w:r>
            <w:r w:rsidRPr="00107CD4">
              <w:rPr>
                <w:color w:val="auto"/>
              </w:rPr>
              <w:t>.</w:t>
            </w:r>
          </w:p>
          <w:p w:rsidR="00553F02" w:rsidRPr="00107CD4" w:rsidRDefault="005C4663" w:rsidP="00325558">
            <w:pPr>
              <w:pStyle w:val="ListParagraph"/>
              <w:numPr>
                <w:ilvl w:val="0"/>
                <w:numId w:val="34"/>
              </w:numPr>
              <w:rPr>
                <w:color w:val="auto"/>
              </w:rPr>
            </w:pPr>
            <w:r w:rsidRPr="00107CD4">
              <w:rPr>
                <w:color w:val="auto"/>
              </w:rPr>
              <w:t>Authorise</w:t>
            </w:r>
            <w:r w:rsidR="00553F02" w:rsidRPr="00107CD4">
              <w:rPr>
                <w:color w:val="auto"/>
              </w:rPr>
              <w:t xml:space="preserve"> the Head of Regulatory Services and Community Safety to determine all licensing applications (Parts 5.6 and 5.7)</w:t>
            </w:r>
            <w:r w:rsidR="0086340F" w:rsidRPr="00107CD4">
              <w:rPr>
                <w:color w:val="auto"/>
              </w:rPr>
              <w:t xml:space="preserve"> with the exception of any applications that require a hearing</w:t>
            </w:r>
            <w:r w:rsidR="00325558" w:rsidRPr="00107CD4">
              <w:rPr>
                <w:color w:val="auto"/>
              </w:rPr>
              <w:t xml:space="preserve"> and cannot be delegated in law</w:t>
            </w:r>
            <w:r w:rsidR="00BF440F" w:rsidRPr="00107CD4">
              <w:rPr>
                <w:color w:val="auto"/>
              </w:rPr>
              <w:t>,</w:t>
            </w:r>
            <w:r w:rsidR="00325558" w:rsidRPr="00107CD4">
              <w:rPr>
                <w:color w:val="auto"/>
              </w:rPr>
              <w:t xml:space="preserve"> until such a time as meetings can be convened.</w:t>
            </w:r>
          </w:p>
        </w:tc>
      </w:tr>
      <w:tr w:rsidR="00107CD4" w:rsidRPr="00107CD4" w:rsidTr="005D33EF">
        <w:trPr>
          <w:trHeight w:val="283"/>
        </w:trPr>
        <w:tc>
          <w:tcPr>
            <w:tcW w:w="426" w:type="dxa"/>
            <w:tcBorders>
              <w:top w:val="nil"/>
              <w:left w:val="single" w:sz="8" w:space="0" w:color="000000"/>
              <w:bottom w:val="nil"/>
              <w:right w:val="nil"/>
            </w:tcBorders>
          </w:tcPr>
          <w:p w:rsidR="0030208D" w:rsidRPr="00107CD4" w:rsidRDefault="0086340F" w:rsidP="004A6D2F">
            <w:pPr>
              <w:rPr>
                <w:color w:val="auto"/>
              </w:rPr>
            </w:pPr>
            <w:r w:rsidRPr="00107CD4">
              <w:rPr>
                <w:color w:val="auto"/>
              </w:rPr>
              <w:lastRenderedPageBreak/>
              <w:t>2</w:t>
            </w:r>
            <w:r w:rsidR="00046D2B" w:rsidRPr="00107CD4">
              <w:rPr>
                <w:color w:val="auto"/>
              </w:rPr>
              <w:t>.</w:t>
            </w:r>
          </w:p>
        </w:tc>
        <w:tc>
          <w:tcPr>
            <w:tcW w:w="8419" w:type="dxa"/>
            <w:gridSpan w:val="2"/>
            <w:tcBorders>
              <w:top w:val="nil"/>
              <w:left w:val="nil"/>
              <w:bottom w:val="nil"/>
              <w:right w:val="single" w:sz="8" w:space="0" w:color="000000"/>
            </w:tcBorders>
            <w:shd w:val="clear" w:color="auto" w:fill="auto"/>
          </w:tcPr>
          <w:p w:rsidR="0030208D" w:rsidRPr="00107CD4" w:rsidRDefault="005C4663" w:rsidP="00F304CF">
            <w:pPr>
              <w:rPr>
                <w:color w:val="auto"/>
              </w:rPr>
            </w:pPr>
            <w:r w:rsidRPr="00107CD4">
              <w:rPr>
                <w:b/>
                <w:color w:val="auto"/>
              </w:rPr>
              <w:t>Delegate</w:t>
            </w:r>
            <w:r w:rsidRPr="00107CD4">
              <w:rPr>
                <w:color w:val="auto"/>
              </w:rPr>
              <w:t xml:space="preserve"> authority to the Head of Law and Governance to make minor textual changes to the proposed wording of the revised </w:t>
            </w:r>
            <w:r w:rsidR="00F304CF" w:rsidRPr="00107CD4">
              <w:rPr>
                <w:color w:val="auto"/>
              </w:rPr>
              <w:t xml:space="preserve">business continuity version of the </w:t>
            </w:r>
            <w:r w:rsidRPr="00107CD4">
              <w:rPr>
                <w:color w:val="auto"/>
              </w:rPr>
              <w:t>Constitution set out in Appendix 1</w:t>
            </w:r>
            <w:r w:rsidR="00AB408B" w:rsidRPr="00107CD4">
              <w:rPr>
                <w:color w:val="auto"/>
              </w:rPr>
              <w:t xml:space="preserve"> and to make any other consequential amendments</w:t>
            </w:r>
            <w:r w:rsidR="008D4AB6" w:rsidRPr="00107CD4">
              <w:rPr>
                <w:color w:val="auto"/>
              </w:rPr>
              <w:t xml:space="preserve"> that may be required</w:t>
            </w:r>
            <w:r w:rsidRPr="00107CD4">
              <w:rPr>
                <w:color w:val="auto"/>
              </w:rPr>
              <w:t>.</w:t>
            </w:r>
          </w:p>
        </w:tc>
      </w:tr>
      <w:tr w:rsidR="00107CD4" w:rsidRPr="00107CD4" w:rsidTr="00050348">
        <w:trPr>
          <w:trHeight w:val="283"/>
        </w:trPr>
        <w:tc>
          <w:tcPr>
            <w:tcW w:w="426" w:type="dxa"/>
            <w:tcBorders>
              <w:top w:val="nil"/>
              <w:left w:val="single" w:sz="8" w:space="0" w:color="000000"/>
              <w:bottom w:val="nil"/>
              <w:right w:val="nil"/>
            </w:tcBorders>
          </w:tcPr>
          <w:p w:rsidR="005D33EF" w:rsidRPr="00107CD4" w:rsidRDefault="005D33EF" w:rsidP="004A6D2F">
            <w:pPr>
              <w:rPr>
                <w:color w:val="auto"/>
              </w:rPr>
            </w:pPr>
            <w:r w:rsidRPr="00107CD4">
              <w:rPr>
                <w:color w:val="auto"/>
              </w:rPr>
              <w:t>3.</w:t>
            </w:r>
          </w:p>
        </w:tc>
        <w:tc>
          <w:tcPr>
            <w:tcW w:w="8419" w:type="dxa"/>
            <w:gridSpan w:val="2"/>
            <w:tcBorders>
              <w:top w:val="nil"/>
              <w:left w:val="nil"/>
              <w:bottom w:val="nil"/>
              <w:right w:val="single" w:sz="8" w:space="0" w:color="000000"/>
            </w:tcBorders>
            <w:shd w:val="clear" w:color="auto" w:fill="auto"/>
          </w:tcPr>
          <w:p w:rsidR="005D33EF" w:rsidRPr="00107CD4" w:rsidRDefault="005C4663" w:rsidP="00325558">
            <w:pPr>
              <w:rPr>
                <w:color w:val="auto"/>
              </w:rPr>
            </w:pPr>
            <w:r w:rsidRPr="00107CD4">
              <w:rPr>
                <w:b/>
                <w:color w:val="auto"/>
              </w:rPr>
              <w:t>Instruct</w:t>
            </w:r>
            <w:r w:rsidRPr="00107CD4">
              <w:rPr>
                <w:color w:val="auto"/>
              </w:rPr>
              <w:t xml:space="preserve"> the Head of Law and Governance to publish the revised business continuity version of the Constitution (as amended) on the Council website.</w:t>
            </w:r>
          </w:p>
        </w:tc>
      </w:tr>
      <w:tr w:rsidR="00050348" w:rsidRPr="00107CD4" w:rsidTr="00846902">
        <w:trPr>
          <w:trHeight w:val="283"/>
        </w:trPr>
        <w:tc>
          <w:tcPr>
            <w:tcW w:w="426" w:type="dxa"/>
            <w:tcBorders>
              <w:top w:val="nil"/>
              <w:left w:val="single" w:sz="8" w:space="0" w:color="000000"/>
              <w:bottom w:val="single" w:sz="4" w:space="0" w:color="auto"/>
              <w:right w:val="nil"/>
            </w:tcBorders>
          </w:tcPr>
          <w:p w:rsidR="00050348" w:rsidRPr="00107CD4" w:rsidRDefault="00050348" w:rsidP="004A6D2F">
            <w:pPr>
              <w:rPr>
                <w:color w:val="auto"/>
              </w:rPr>
            </w:pPr>
            <w:r>
              <w:rPr>
                <w:color w:val="auto"/>
              </w:rPr>
              <w:t>4.</w:t>
            </w:r>
          </w:p>
        </w:tc>
        <w:tc>
          <w:tcPr>
            <w:tcW w:w="8419" w:type="dxa"/>
            <w:gridSpan w:val="2"/>
            <w:tcBorders>
              <w:top w:val="nil"/>
              <w:left w:val="nil"/>
              <w:bottom w:val="single" w:sz="4" w:space="0" w:color="auto"/>
              <w:right w:val="single" w:sz="8" w:space="0" w:color="000000"/>
            </w:tcBorders>
            <w:shd w:val="clear" w:color="auto" w:fill="auto"/>
          </w:tcPr>
          <w:p w:rsidR="00050348" w:rsidRPr="00050348" w:rsidRDefault="00050348" w:rsidP="003519CF">
            <w:pPr>
              <w:rPr>
                <w:color w:val="auto"/>
              </w:rPr>
            </w:pPr>
            <w:r>
              <w:rPr>
                <w:b/>
                <w:color w:val="auto"/>
              </w:rPr>
              <w:t xml:space="preserve">Delegate </w:t>
            </w:r>
            <w:r>
              <w:rPr>
                <w:color w:val="auto"/>
              </w:rPr>
              <w:t>authority to the Head of Law and Governance to amend the business continuity version of the Constitution</w:t>
            </w:r>
            <w:r w:rsidR="002F6B07">
              <w:rPr>
                <w:color w:val="auto"/>
              </w:rPr>
              <w:t xml:space="preserve"> as required</w:t>
            </w:r>
            <w:r>
              <w:rPr>
                <w:color w:val="auto"/>
              </w:rPr>
              <w:t xml:space="preserve"> in response to events </w:t>
            </w:r>
            <w:r w:rsidR="002F6B07">
              <w:rPr>
                <w:color w:val="auto"/>
              </w:rPr>
              <w:t>or</w:t>
            </w:r>
            <w:r>
              <w:rPr>
                <w:color w:val="auto"/>
              </w:rPr>
              <w:t xml:space="preserve"> </w:t>
            </w:r>
            <w:r w:rsidR="003519CF">
              <w:rPr>
                <w:color w:val="auto"/>
              </w:rPr>
              <w:t xml:space="preserve">following the implementation of regulations brought forward under the Coronavirus Act 2020 or </w:t>
            </w:r>
            <w:r>
              <w:rPr>
                <w:color w:val="auto"/>
              </w:rPr>
              <w:t xml:space="preserve">changes to </w:t>
            </w:r>
            <w:r w:rsidR="003519CF">
              <w:rPr>
                <w:color w:val="auto"/>
              </w:rPr>
              <w:t xml:space="preserve">such </w:t>
            </w:r>
            <w:r>
              <w:rPr>
                <w:color w:val="auto"/>
              </w:rPr>
              <w:t xml:space="preserve">regulations, </w:t>
            </w:r>
            <w:r w:rsidR="002F6B07">
              <w:rPr>
                <w:color w:val="auto"/>
              </w:rPr>
              <w:t>for example to</w:t>
            </w:r>
            <w:r w:rsidR="003519CF">
              <w:rPr>
                <w:color w:val="auto"/>
              </w:rPr>
              <w:t xml:space="preserve"> facilitate virtual meetings or to</w:t>
            </w:r>
            <w:r>
              <w:rPr>
                <w:color w:val="auto"/>
              </w:rPr>
              <w:t xml:space="preserve"> </w:t>
            </w:r>
            <w:r w:rsidR="002F6B07">
              <w:rPr>
                <w:color w:val="auto"/>
              </w:rPr>
              <w:t xml:space="preserve">reinstate </w:t>
            </w:r>
            <w:r>
              <w:rPr>
                <w:color w:val="auto"/>
              </w:rPr>
              <w:t>normal constitutional arrangements whe</w:t>
            </w:r>
            <w:r w:rsidR="002F6B07">
              <w:rPr>
                <w:color w:val="auto"/>
              </w:rPr>
              <w:t>re</w:t>
            </w:r>
            <w:r>
              <w:rPr>
                <w:color w:val="auto"/>
              </w:rPr>
              <w:t xml:space="preserve"> </w:t>
            </w:r>
            <w:r w:rsidR="003519CF">
              <w:rPr>
                <w:color w:val="auto"/>
              </w:rPr>
              <w:t xml:space="preserve">physical </w:t>
            </w:r>
            <w:r>
              <w:rPr>
                <w:color w:val="auto"/>
              </w:rPr>
              <w:t>meetings can be legally and safely convened, and, if necessary, to revert back to the arrangements set out in Appendix 1 if restrictions on public gatherings are re-imposed in future.</w:t>
            </w:r>
          </w:p>
        </w:tc>
      </w:tr>
    </w:tbl>
    <w:p w:rsidR="00CE544A" w:rsidRPr="00107CD4" w:rsidRDefault="00CE544A"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107CD4" w:rsidRPr="00107CD4" w:rsidTr="00846902">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107CD4" w:rsidRDefault="00966D42" w:rsidP="00263EA3">
            <w:pPr>
              <w:jc w:val="center"/>
              <w:rPr>
                <w:color w:val="auto"/>
              </w:rPr>
            </w:pPr>
            <w:r w:rsidRPr="00107CD4">
              <w:rPr>
                <w:rStyle w:val="Firstpagetablebold"/>
                <w:color w:val="auto"/>
              </w:rPr>
              <w:t>Appendices</w:t>
            </w:r>
          </w:p>
        </w:tc>
      </w:tr>
      <w:tr w:rsidR="00107CD4" w:rsidRPr="00107CD4" w:rsidTr="00A46E98">
        <w:tc>
          <w:tcPr>
            <w:tcW w:w="2438" w:type="dxa"/>
            <w:tcBorders>
              <w:top w:val="single" w:sz="8" w:space="0" w:color="000000"/>
              <w:left w:val="single" w:sz="8" w:space="0" w:color="000000"/>
              <w:bottom w:val="nil"/>
              <w:right w:val="nil"/>
            </w:tcBorders>
            <w:shd w:val="clear" w:color="auto" w:fill="auto"/>
          </w:tcPr>
          <w:p w:rsidR="00ED5860" w:rsidRPr="00107CD4" w:rsidRDefault="00ED5860" w:rsidP="004A6D2F">
            <w:pPr>
              <w:rPr>
                <w:color w:val="auto"/>
              </w:rPr>
            </w:pPr>
            <w:r w:rsidRPr="00107CD4">
              <w:rPr>
                <w:color w:val="auto"/>
              </w:rPr>
              <w:t>Appendix 1</w:t>
            </w:r>
          </w:p>
        </w:tc>
        <w:tc>
          <w:tcPr>
            <w:tcW w:w="6406" w:type="dxa"/>
            <w:tcBorders>
              <w:top w:val="single" w:sz="8" w:space="0" w:color="000000"/>
              <w:left w:val="nil"/>
              <w:bottom w:val="nil"/>
              <w:right w:val="single" w:sz="8" w:space="0" w:color="000000"/>
            </w:tcBorders>
          </w:tcPr>
          <w:p w:rsidR="00ED5860" w:rsidRPr="00107CD4" w:rsidRDefault="005C4663" w:rsidP="00004B67">
            <w:pPr>
              <w:rPr>
                <w:color w:val="auto"/>
              </w:rPr>
            </w:pPr>
            <w:r w:rsidRPr="00107CD4">
              <w:rPr>
                <w:color w:val="auto"/>
              </w:rPr>
              <w:t xml:space="preserve">Proposed revisions to the Constitution </w:t>
            </w:r>
            <w:r w:rsidR="00004B67" w:rsidRPr="00107CD4">
              <w:rPr>
                <w:color w:val="auto"/>
              </w:rPr>
              <w:t xml:space="preserve">for </w:t>
            </w:r>
            <w:r w:rsidR="00F304CF" w:rsidRPr="00107CD4">
              <w:rPr>
                <w:color w:val="auto"/>
              </w:rPr>
              <w:t>business continuity</w:t>
            </w:r>
          </w:p>
        </w:tc>
      </w:tr>
      <w:tr w:rsidR="00107CD4" w:rsidRPr="00107CD4" w:rsidTr="00846902">
        <w:tc>
          <w:tcPr>
            <w:tcW w:w="2438" w:type="dxa"/>
            <w:tcBorders>
              <w:top w:val="nil"/>
              <w:left w:val="single" w:sz="8" w:space="0" w:color="000000"/>
              <w:bottom w:val="single" w:sz="4" w:space="0" w:color="auto"/>
              <w:right w:val="nil"/>
            </w:tcBorders>
            <w:shd w:val="clear" w:color="auto" w:fill="auto"/>
          </w:tcPr>
          <w:p w:rsidR="00ED5860" w:rsidRPr="00107CD4" w:rsidRDefault="0030208D" w:rsidP="004A6D2F">
            <w:pPr>
              <w:rPr>
                <w:color w:val="auto"/>
              </w:rPr>
            </w:pPr>
            <w:r w:rsidRPr="00107CD4">
              <w:rPr>
                <w:color w:val="auto"/>
              </w:rPr>
              <w:t>Appendix 2</w:t>
            </w:r>
          </w:p>
        </w:tc>
        <w:tc>
          <w:tcPr>
            <w:tcW w:w="6406" w:type="dxa"/>
            <w:tcBorders>
              <w:top w:val="nil"/>
              <w:left w:val="nil"/>
              <w:bottom w:val="single" w:sz="4" w:space="0" w:color="auto"/>
              <w:right w:val="single" w:sz="8" w:space="0" w:color="000000"/>
            </w:tcBorders>
          </w:tcPr>
          <w:p w:rsidR="00ED5860" w:rsidRPr="00107CD4" w:rsidRDefault="00616F80" w:rsidP="004A6D2F">
            <w:pPr>
              <w:rPr>
                <w:color w:val="auto"/>
              </w:rPr>
            </w:pPr>
            <w:r>
              <w:rPr>
                <w:color w:val="auto"/>
              </w:rPr>
              <w:t>Business Continuity Planning Protocol</w:t>
            </w:r>
          </w:p>
        </w:tc>
      </w:tr>
    </w:tbl>
    <w:p w:rsidR="0040736F" w:rsidRPr="00107CD4" w:rsidRDefault="00F66DCA" w:rsidP="004A6D2F">
      <w:pPr>
        <w:pStyle w:val="Heading1"/>
        <w:rPr>
          <w:color w:val="auto"/>
        </w:rPr>
      </w:pPr>
      <w:r w:rsidRPr="00107CD4">
        <w:rPr>
          <w:color w:val="auto"/>
        </w:rPr>
        <w:t>Introduction and b</w:t>
      </w:r>
      <w:r w:rsidR="00151888" w:rsidRPr="00107CD4">
        <w:rPr>
          <w:color w:val="auto"/>
        </w:rPr>
        <w:t>ackground</w:t>
      </w:r>
      <w:r w:rsidR="00404032" w:rsidRPr="00107CD4">
        <w:rPr>
          <w:color w:val="auto"/>
        </w:rPr>
        <w:t xml:space="preserve"> </w:t>
      </w:r>
    </w:p>
    <w:p w:rsidR="00633578" w:rsidRPr="00107CD4" w:rsidRDefault="0023029B" w:rsidP="0023029B">
      <w:pPr>
        <w:pStyle w:val="ListParagraph"/>
        <w:rPr>
          <w:color w:val="auto"/>
        </w:rPr>
      </w:pPr>
      <w:r w:rsidRPr="00107CD4">
        <w:rPr>
          <w:color w:val="auto"/>
        </w:rPr>
        <w:t xml:space="preserve">The Council is advised to temporarily adopt some revised constitutional governance arrangements </w:t>
      </w:r>
      <w:r w:rsidR="00846902" w:rsidRPr="00107CD4">
        <w:rPr>
          <w:color w:val="auto"/>
        </w:rPr>
        <w:t>in order to ensur</w:t>
      </w:r>
      <w:r w:rsidR="00FA2D52" w:rsidRPr="00107CD4">
        <w:rPr>
          <w:color w:val="auto"/>
        </w:rPr>
        <w:t>e continuity of decision making</w:t>
      </w:r>
      <w:r w:rsidRPr="00107CD4">
        <w:rPr>
          <w:color w:val="auto"/>
        </w:rPr>
        <w:t xml:space="preserve"> during the COVID-19 novel coronavirus pandemic.</w:t>
      </w:r>
    </w:p>
    <w:p w:rsidR="00846902" w:rsidRPr="00107CD4" w:rsidRDefault="00FA2D52" w:rsidP="00FA2D52">
      <w:pPr>
        <w:pStyle w:val="ListParagraph"/>
        <w:rPr>
          <w:color w:val="auto"/>
        </w:rPr>
      </w:pPr>
      <w:r w:rsidRPr="00107CD4">
        <w:rPr>
          <w:color w:val="auto"/>
        </w:rPr>
        <w:t>The Government announcement on 23 March 2020 that public gatherings of more than two people from different households are banned for a period that will be reviewe</w:t>
      </w:r>
      <w:r w:rsidR="00325558" w:rsidRPr="00107CD4">
        <w:rPr>
          <w:color w:val="auto"/>
        </w:rPr>
        <w:t xml:space="preserve">d after three weeks (13 </w:t>
      </w:r>
      <w:bookmarkStart w:id="0" w:name="_GoBack"/>
      <w:r w:rsidR="00325558" w:rsidRPr="00107CD4">
        <w:rPr>
          <w:color w:val="auto"/>
        </w:rPr>
        <w:t>April</w:t>
      </w:r>
      <w:bookmarkEnd w:id="0"/>
      <w:r w:rsidR="00325558" w:rsidRPr="00107CD4">
        <w:rPr>
          <w:color w:val="auto"/>
        </w:rPr>
        <w:t>) means that i</w:t>
      </w:r>
      <w:r w:rsidRPr="00107CD4">
        <w:rPr>
          <w:color w:val="auto"/>
        </w:rPr>
        <w:t xml:space="preserve">t is not possible for meetings to be held until such a time as the restrictions are lifted or </w:t>
      </w:r>
      <w:r w:rsidR="00325558" w:rsidRPr="00107CD4">
        <w:rPr>
          <w:color w:val="auto"/>
        </w:rPr>
        <w:t>remote meetings are enabled in regulations</w:t>
      </w:r>
      <w:r w:rsidR="00915633">
        <w:rPr>
          <w:color w:val="auto"/>
        </w:rPr>
        <w:t xml:space="preserve"> and suitable technology is in place to support this</w:t>
      </w:r>
      <w:r w:rsidRPr="00107CD4">
        <w:rPr>
          <w:color w:val="auto"/>
        </w:rPr>
        <w:t>.</w:t>
      </w:r>
    </w:p>
    <w:p w:rsidR="0023029B" w:rsidRPr="00107CD4" w:rsidRDefault="00625304" w:rsidP="00AB06E9">
      <w:pPr>
        <w:pStyle w:val="ListParagraph"/>
        <w:rPr>
          <w:color w:val="auto"/>
        </w:rPr>
      </w:pPr>
      <w:r w:rsidRPr="00107CD4">
        <w:rPr>
          <w:color w:val="auto"/>
        </w:rPr>
        <w:t>The restrictions</w:t>
      </w:r>
      <w:r w:rsidR="00915633">
        <w:rPr>
          <w:color w:val="auto"/>
        </w:rPr>
        <w:t xml:space="preserve"> on public gatherings</w:t>
      </w:r>
      <w:r w:rsidRPr="00107CD4">
        <w:rPr>
          <w:color w:val="auto"/>
        </w:rPr>
        <w:t xml:space="preserve"> mean that Council is unable to meet to agree changes to its Constitution</w:t>
      </w:r>
      <w:r w:rsidR="00325558" w:rsidRPr="00107CD4">
        <w:rPr>
          <w:color w:val="auto"/>
        </w:rPr>
        <w:t xml:space="preserve"> </w:t>
      </w:r>
      <w:r w:rsidR="0023029B" w:rsidRPr="00107CD4">
        <w:rPr>
          <w:color w:val="auto"/>
        </w:rPr>
        <w:t xml:space="preserve">in order </w:t>
      </w:r>
      <w:r w:rsidR="00325558" w:rsidRPr="00107CD4">
        <w:rPr>
          <w:color w:val="auto"/>
        </w:rPr>
        <w:t>to ensure that member-level decisions can continue to be taken</w:t>
      </w:r>
      <w:r w:rsidR="008478C8" w:rsidRPr="00107CD4">
        <w:rPr>
          <w:color w:val="auto"/>
        </w:rPr>
        <w:t>.</w:t>
      </w:r>
      <w:r w:rsidR="00EB5C4D" w:rsidRPr="00107CD4">
        <w:rPr>
          <w:color w:val="auto"/>
        </w:rPr>
        <w:t xml:space="preserve"> Part 9.3(c) of the Constitution, as adopted at a meeting of Council on </w:t>
      </w:r>
      <w:r w:rsidR="00991EBE" w:rsidRPr="00107CD4">
        <w:rPr>
          <w:color w:val="auto"/>
        </w:rPr>
        <w:t>27 January</w:t>
      </w:r>
      <w:r w:rsidR="00EB5C4D" w:rsidRPr="00107CD4">
        <w:rPr>
          <w:color w:val="auto"/>
        </w:rPr>
        <w:t xml:space="preserve"> 2020</w:t>
      </w:r>
      <w:r w:rsidR="0023029B" w:rsidRPr="00107CD4">
        <w:rPr>
          <w:color w:val="auto"/>
        </w:rPr>
        <w:t xml:space="preserve">, </w:t>
      </w:r>
      <w:r w:rsidR="00EB5C4D" w:rsidRPr="00107CD4">
        <w:rPr>
          <w:color w:val="auto"/>
        </w:rPr>
        <w:t>b</w:t>
      </w:r>
      <w:r w:rsidR="0023029B" w:rsidRPr="00107CD4">
        <w:rPr>
          <w:color w:val="auto"/>
        </w:rPr>
        <w:t>efore the pandemic was declared,</w:t>
      </w:r>
      <w:r w:rsidR="00325558" w:rsidRPr="00107CD4">
        <w:rPr>
          <w:color w:val="auto"/>
        </w:rPr>
        <w:t xml:space="preserve"> delegates authority to the </w:t>
      </w:r>
      <w:r w:rsidR="0023029B" w:rsidRPr="00107CD4">
        <w:rPr>
          <w:color w:val="auto"/>
        </w:rPr>
        <w:t>Head of Paid Service (</w:t>
      </w:r>
      <w:r w:rsidR="00325558" w:rsidRPr="00107CD4">
        <w:rPr>
          <w:color w:val="auto"/>
        </w:rPr>
        <w:t>Chief Executive</w:t>
      </w:r>
      <w:r w:rsidR="0023029B" w:rsidRPr="00107CD4">
        <w:rPr>
          <w:color w:val="auto"/>
        </w:rPr>
        <w:t>) to:</w:t>
      </w:r>
    </w:p>
    <w:p w:rsidR="0023029B" w:rsidRPr="00915633" w:rsidRDefault="0023029B" w:rsidP="00915633">
      <w:pPr>
        <w:pStyle w:val="ListParagraph"/>
        <w:numPr>
          <w:ilvl w:val="0"/>
          <w:numId w:val="0"/>
        </w:numPr>
        <w:ind w:left="426"/>
        <w:rPr>
          <w:i/>
          <w:color w:val="auto"/>
        </w:rPr>
      </w:pPr>
      <w:proofErr w:type="gramStart"/>
      <w:r w:rsidRPr="00107CD4">
        <w:rPr>
          <w:i/>
          <w:color w:val="auto"/>
        </w:rPr>
        <w:t>authorise</w:t>
      </w:r>
      <w:proofErr w:type="gramEnd"/>
      <w:r w:rsidRPr="00107CD4">
        <w:rPr>
          <w:i/>
          <w:color w:val="auto"/>
        </w:rPr>
        <w:t xml:space="preserve"> any emergency action required on any matter which shall include incurring expenditure, including those falling within the jurisdiction of a Committee or the Cabinet. The Head of Paid Service, in so acting, will be guided by the budget and policy framework, will consult the other Statutory Officers before acting and will </w:t>
      </w:r>
      <w:r w:rsidRPr="00107CD4">
        <w:rPr>
          <w:i/>
          <w:color w:val="auto"/>
        </w:rPr>
        <w:lastRenderedPageBreak/>
        <w:t>report, in writing, as soon as practicable to the body which would otherwise have been required to give the necessary authority to act.</w:t>
      </w:r>
    </w:p>
    <w:p w:rsidR="00625304" w:rsidRPr="00107CD4" w:rsidRDefault="008478C8" w:rsidP="0023029B">
      <w:pPr>
        <w:pStyle w:val="ListParagraph"/>
        <w:rPr>
          <w:color w:val="auto"/>
        </w:rPr>
      </w:pPr>
      <w:r w:rsidRPr="00107CD4">
        <w:rPr>
          <w:color w:val="auto"/>
        </w:rPr>
        <w:t xml:space="preserve">In the circumstances it is considered necessary and appropriate that this power be used to </w:t>
      </w:r>
      <w:r w:rsidR="0023029B" w:rsidRPr="00107CD4">
        <w:rPr>
          <w:color w:val="auto"/>
        </w:rPr>
        <w:t>revise the Council’s constitutional arrangements</w:t>
      </w:r>
      <w:r w:rsidR="00BF440F" w:rsidRPr="00107CD4">
        <w:rPr>
          <w:color w:val="auto"/>
        </w:rPr>
        <w:t xml:space="preserve"> in order to enable the Council to continue to conduct its business and take decisions effectively</w:t>
      </w:r>
      <w:r w:rsidR="00325558" w:rsidRPr="00107CD4">
        <w:rPr>
          <w:color w:val="auto"/>
        </w:rPr>
        <w:t xml:space="preserve">. </w:t>
      </w:r>
    </w:p>
    <w:p w:rsidR="00FA2D52" w:rsidRPr="00107CD4" w:rsidRDefault="00FA2D52" w:rsidP="00FA2D52">
      <w:pPr>
        <w:pStyle w:val="ListParagraph"/>
        <w:rPr>
          <w:color w:val="auto"/>
        </w:rPr>
      </w:pPr>
      <w:r w:rsidRPr="00107CD4">
        <w:rPr>
          <w:color w:val="auto"/>
        </w:rPr>
        <w:t xml:space="preserve">The Council </w:t>
      </w:r>
      <w:r w:rsidR="00BF440F" w:rsidRPr="00107CD4">
        <w:rPr>
          <w:color w:val="auto"/>
        </w:rPr>
        <w:t xml:space="preserve">ordinarily </w:t>
      </w:r>
      <w:r w:rsidRPr="00107CD4">
        <w:rPr>
          <w:color w:val="auto"/>
        </w:rPr>
        <w:t>wishes to ensure</w:t>
      </w:r>
      <w:r w:rsidR="00BF440F" w:rsidRPr="00107CD4">
        <w:rPr>
          <w:color w:val="auto"/>
        </w:rPr>
        <w:t xml:space="preserve"> a high degree of</w:t>
      </w:r>
      <w:r w:rsidRPr="00107CD4">
        <w:rPr>
          <w:color w:val="auto"/>
        </w:rPr>
        <w:t xml:space="preserve"> member and public oversight of</w:t>
      </w:r>
      <w:r w:rsidR="00625304" w:rsidRPr="00107CD4">
        <w:rPr>
          <w:color w:val="auto"/>
        </w:rPr>
        <w:t xml:space="preserve"> and engagement in its</w:t>
      </w:r>
      <w:r w:rsidR="00EB5C4D" w:rsidRPr="00107CD4">
        <w:rPr>
          <w:color w:val="auto"/>
        </w:rPr>
        <w:t xml:space="preserve"> decision making </w:t>
      </w:r>
      <w:r w:rsidR="00BF440F" w:rsidRPr="00107CD4">
        <w:rPr>
          <w:color w:val="auto"/>
        </w:rPr>
        <w:t xml:space="preserve">processes </w:t>
      </w:r>
      <w:r w:rsidR="00EB5C4D" w:rsidRPr="00107CD4">
        <w:rPr>
          <w:color w:val="auto"/>
        </w:rPr>
        <w:t>but these considerations</w:t>
      </w:r>
      <w:r w:rsidRPr="00107CD4">
        <w:rPr>
          <w:color w:val="auto"/>
        </w:rPr>
        <w:t xml:space="preserve"> must be balanced against the risk to health and life posed by the pandemic</w:t>
      </w:r>
      <w:r w:rsidR="00625304" w:rsidRPr="00107CD4">
        <w:rPr>
          <w:color w:val="auto"/>
        </w:rPr>
        <w:t xml:space="preserve"> and the restrictions on public gatherings</w:t>
      </w:r>
      <w:r w:rsidR="00EB5C4D" w:rsidRPr="00107CD4">
        <w:rPr>
          <w:color w:val="auto"/>
        </w:rPr>
        <w:t xml:space="preserve"> which may be enforced by the police</w:t>
      </w:r>
      <w:r w:rsidRPr="00107CD4">
        <w:rPr>
          <w:color w:val="auto"/>
        </w:rPr>
        <w:t>.</w:t>
      </w:r>
    </w:p>
    <w:p w:rsidR="00E87F7A" w:rsidRPr="00107CD4" w:rsidRDefault="00FA2D52" w:rsidP="00E87F7A">
      <w:pPr>
        <w:spacing w:before="240"/>
        <w:outlineLvl w:val="0"/>
        <w:rPr>
          <w:b/>
          <w:color w:val="auto"/>
        </w:rPr>
      </w:pPr>
      <w:r w:rsidRPr="00107CD4">
        <w:rPr>
          <w:b/>
          <w:color w:val="auto"/>
        </w:rPr>
        <w:t>The cancellation and arrangement of meetings</w:t>
      </w:r>
    </w:p>
    <w:p w:rsidR="008478C8" w:rsidRPr="00107CD4" w:rsidRDefault="0029389D" w:rsidP="001C235A">
      <w:pPr>
        <w:pStyle w:val="ListParagraph"/>
      </w:pPr>
      <w:r w:rsidRPr="00107CD4">
        <w:t>Th</w:t>
      </w:r>
      <w:r w:rsidR="008478C8" w:rsidRPr="00107CD4">
        <w:t xml:space="preserve">e Coronavirus Act 2020 </w:t>
      </w:r>
      <w:r w:rsidRPr="00107CD4">
        <w:t xml:space="preserve">passed </w:t>
      </w:r>
      <w:r w:rsidR="003519CF">
        <w:t xml:space="preserve">through the parliamentary </w:t>
      </w:r>
      <w:r w:rsidR="001C235A">
        <w:t xml:space="preserve">process and was given </w:t>
      </w:r>
      <w:r w:rsidRPr="00107CD4">
        <w:t xml:space="preserve">Royal Assent </w:t>
      </w:r>
      <w:r w:rsidR="001C235A" w:rsidRPr="001C235A">
        <w:rPr>
          <w:color w:val="auto"/>
        </w:rPr>
        <w:t xml:space="preserve">on 25 March 2020 </w:t>
      </w:r>
      <w:r w:rsidR="008478C8" w:rsidRPr="00107CD4">
        <w:t xml:space="preserve"> Section 78 of the Act specifically allows the Secretary of State to make regulations in </w:t>
      </w:r>
      <w:r w:rsidR="00915633">
        <w:t>respect of local authority meetings</w:t>
      </w:r>
      <w:r w:rsidR="008478C8" w:rsidRPr="00107CD4">
        <w:t xml:space="preserve">. Whilst the timing and content of any such regulations remains uncertain, it is expected that </w:t>
      </w:r>
      <w:r w:rsidRPr="00107CD4">
        <w:t xml:space="preserve">any such </w:t>
      </w:r>
      <w:r w:rsidR="008478C8" w:rsidRPr="00107CD4">
        <w:t xml:space="preserve">regulations </w:t>
      </w:r>
      <w:r w:rsidRPr="00107CD4">
        <w:t>would</w:t>
      </w:r>
      <w:r w:rsidR="008478C8" w:rsidRPr="00107CD4">
        <w:t xml:space="preserve"> allow </w:t>
      </w:r>
      <w:r w:rsidRPr="00107CD4">
        <w:t xml:space="preserve">local authority </w:t>
      </w:r>
      <w:r w:rsidR="008478C8" w:rsidRPr="00107CD4">
        <w:t xml:space="preserve">meetings </w:t>
      </w:r>
      <w:r w:rsidRPr="00107CD4">
        <w:t xml:space="preserve">to be conducted without </w:t>
      </w:r>
      <w:r w:rsidR="008478C8" w:rsidRPr="00107CD4">
        <w:t>members</w:t>
      </w:r>
      <w:r w:rsidRPr="00107CD4">
        <w:t xml:space="preserve"> needing to be present in person </w:t>
      </w:r>
      <w:r w:rsidR="008478C8" w:rsidRPr="00107CD4">
        <w:t>to join, speak at, vote in or otherwise participate</w:t>
      </w:r>
      <w:r w:rsidR="00BF440F" w:rsidRPr="00107CD4">
        <w:t xml:space="preserve"> in a meeting</w:t>
      </w:r>
      <w:r w:rsidR="008478C8" w:rsidRPr="00107CD4">
        <w:t>.</w:t>
      </w:r>
    </w:p>
    <w:p w:rsidR="00EB5C4D" w:rsidRPr="00107CD4" w:rsidRDefault="0029389D" w:rsidP="00BB19B5">
      <w:pPr>
        <w:pStyle w:val="ListParagraph"/>
        <w:rPr>
          <w:color w:val="auto"/>
        </w:rPr>
      </w:pPr>
      <w:r w:rsidRPr="00107CD4">
        <w:rPr>
          <w:color w:val="auto"/>
        </w:rPr>
        <w:t>In the meantime, to</w:t>
      </w:r>
      <w:r w:rsidR="00BB19B5" w:rsidRPr="00107CD4">
        <w:rPr>
          <w:color w:val="auto"/>
        </w:rPr>
        <w:t xml:space="preserve"> enable the Council to conduct its business and take decisions effectively in response to changing advice from Government, potential changes to restrictions on public gatherings </w:t>
      </w:r>
      <w:r w:rsidR="0023029B" w:rsidRPr="00107CD4">
        <w:rPr>
          <w:color w:val="auto"/>
        </w:rPr>
        <w:t>and the possible</w:t>
      </w:r>
      <w:r w:rsidR="00BB19B5" w:rsidRPr="00107CD4">
        <w:rPr>
          <w:color w:val="auto"/>
        </w:rPr>
        <w:t xml:space="preserve"> unavailability of key individuals with constitutional roles (e.g. committee chairs), it is recommended that the relevant officers are authorised to cancel and reschedule meetings as may be required.</w:t>
      </w:r>
      <w:r w:rsidR="0023029B" w:rsidRPr="00107CD4">
        <w:rPr>
          <w:color w:val="auto"/>
        </w:rPr>
        <w:t xml:space="preserve"> For Council meetings this is the Chief Executive and for other non-executive meetings it is the Head of Law and Governance.</w:t>
      </w:r>
      <w:r w:rsidR="00BB19B5" w:rsidRPr="00107CD4">
        <w:rPr>
          <w:color w:val="auto"/>
        </w:rPr>
        <w:t xml:space="preserve"> </w:t>
      </w:r>
      <w:r w:rsidR="008478C8" w:rsidRPr="00107CD4">
        <w:rPr>
          <w:color w:val="auto"/>
        </w:rPr>
        <w:t xml:space="preserve">If these </w:t>
      </w:r>
      <w:r w:rsidR="00BB19B5" w:rsidRPr="00107CD4">
        <w:rPr>
          <w:color w:val="auto"/>
        </w:rPr>
        <w:t>officers</w:t>
      </w:r>
      <w:r w:rsidR="008478C8" w:rsidRPr="00107CD4">
        <w:rPr>
          <w:color w:val="auto"/>
        </w:rPr>
        <w:t xml:space="preserve"> were unable to act </w:t>
      </w:r>
      <w:r w:rsidR="00BB19B5" w:rsidRPr="00107CD4">
        <w:rPr>
          <w:color w:val="auto"/>
        </w:rPr>
        <w:t xml:space="preserve">this authorisation would pass to </w:t>
      </w:r>
      <w:r w:rsidR="008478C8" w:rsidRPr="00107CD4">
        <w:rPr>
          <w:color w:val="auto"/>
        </w:rPr>
        <w:t>other officers nominated</w:t>
      </w:r>
      <w:r w:rsidR="00BF440F" w:rsidRPr="00107CD4">
        <w:rPr>
          <w:color w:val="auto"/>
        </w:rPr>
        <w:t xml:space="preserve"> by them</w:t>
      </w:r>
      <w:r w:rsidR="008478C8" w:rsidRPr="00107CD4">
        <w:rPr>
          <w:color w:val="auto"/>
        </w:rPr>
        <w:t xml:space="preserve"> in </w:t>
      </w:r>
      <w:r w:rsidRPr="00107CD4">
        <w:rPr>
          <w:color w:val="auto"/>
        </w:rPr>
        <w:t xml:space="preserve">a </w:t>
      </w:r>
      <w:r w:rsidR="00BB19B5" w:rsidRPr="00107CD4">
        <w:rPr>
          <w:color w:val="auto"/>
        </w:rPr>
        <w:t xml:space="preserve">scheme of </w:t>
      </w:r>
      <w:r w:rsidR="00915633">
        <w:rPr>
          <w:color w:val="auto"/>
        </w:rPr>
        <w:t>authorisation</w:t>
      </w:r>
      <w:r w:rsidR="00BB19B5" w:rsidRPr="00107CD4">
        <w:rPr>
          <w:color w:val="auto"/>
        </w:rPr>
        <w:t>, providing resilience as well as flexibility.</w:t>
      </w:r>
    </w:p>
    <w:p w:rsidR="00BB19B5" w:rsidRPr="00107CD4" w:rsidRDefault="000955C5" w:rsidP="00BB19B5">
      <w:pPr>
        <w:rPr>
          <w:b/>
          <w:color w:val="auto"/>
        </w:rPr>
      </w:pPr>
      <w:r w:rsidRPr="00107CD4">
        <w:rPr>
          <w:b/>
          <w:color w:val="auto"/>
        </w:rPr>
        <w:t xml:space="preserve">Executive </w:t>
      </w:r>
      <w:r w:rsidR="00BB19B5" w:rsidRPr="00107CD4">
        <w:rPr>
          <w:b/>
          <w:color w:val="auto"/>
        </w:rPr>
        <w:t>decision making</w:t>
      </w:r>
    </w:p>
    <w:p w:rsidR="00EB5C4D" w:rsidRPr="00107CD4" w:rsidRDefault="00460761" w:rsidP="0029389D">
      <w:pPr>
        <w:pStyle w:val="ListParagraph"/>
        <w:rPr>
          <w:color w:val="auto"/>
        </w:rPr>
      </w:pPr>
      <w:r w:rsidRPr="00107CD4">
        <w:rPr>
          <w:color w:val="auto"/>
        </w:rPr>
        <w:t xml:space="preserve">The Local Government Act 2000 governs how executive decision making can be operated by a local authority. The preference of successive administrations </w:t>
      </w:r>
      <w:r w:rsidR="00915633">
        <w:rPr>
          <w:color w:val="auto"/>
        </w:rPr>
        <w:t xml:space="preserve">of this Council </w:t>
      </w:r>
      <w:r w:rsidRPr="00107CD4">
        <w:rPr>
          <w:color w:val="auto"/>
        </w:rPr>
        <w:t xml:space="preserve">has been for </w:t>
      </w:r>
      <w:r w:rsidR="00004B67" w:rsidRPr="00107CD4">
        <w:rPr>
          <w:color w:val="auto"/>
        </w:rPr>
        <w:t xml:space="preserve">major </w:t>
      </w:r>
      <w:r w:rsidRPr="00107CD4">
        <w:rPr>
          <w:color w:val="auto"/>
        </w:rPr>
        <w:t xml:space="preserve">decisions to be made collectively by Cabinet (formerly City Executive Board) and this is reflected in the Council’s constitutional arrangements for </w:t>
      </w:r>
      <w:r w:rsidR="00BF440F" w:rsidRPr="00107CD4">
        <w:rPr>
          <w:color w:val="auto"/>
        </w:rPr>
        <w:t xml:space="preserve">Cabinet </w:t>
      </w:r>
      <w:r w:rsidRPr="00107CD4">
        <w:rPr>
          <w:color w:val="auto"/>
        </w:rPr>
        <w:t xml:space="preserve">decision making. </w:t>
      </w:r>
      <w:r w:rsidR="0023029B" w:rsidRPr="00107CD4">
        <w:rPr>
          <w:color w:val="auto"/>
        </w:rPr>
        <w:t xml:space="preserve">The Leader is able to amend the executive scheme of delegation </w:t>
      </w:r>
      <w:r w:rsidR="00A063A5" w:rsidRPr="00107CD4">
        <w:rPr>
          <w:color w:val="auto"/>
        </w:rPr>
        <w:t>set out in Part 4 of the Constitution and could choose to delegate executive decisions, including those currently reserved to Cabinet (Part 4.5), to individual Cabinet Members in order to provide</w:t>
      </w:r>
      <w:r w:rsidR="00004B67" w:rsidRPr="00107CD4">
        <w:rPr>
          <w:color w:val="auto"/>
        </w:rPr>
        <w:t xml:space="preserve"> for</w:t>
      </w:r>
      <w:r w:rsidR="00A063A5" w:rsidRPr="00107CD4">
        <w:rPr>
          <w:color w:val="auto"/>
        </w:rPr>
        <w:t xml:space="preserve"> continuity of decision making and </w:t>
      </w:r>
      <w:r w:rsidR="00004B67" w:rsidRPr="00107CD4">
        <w:rPr>
          <w:color w:val="auto"/>
        </w:rPr>
        <w:t xml:space="preserve">greater </w:t>
      </w:r>
      <w:r w:rsidR="00A063A5" w:rsidRPr="00107CD4">
        <w:rPr>
          <w:color w:val="auto"/>
        </w:rPr>
        <w:t>flexibility.</w:t>
      </w:r>
    </w:p>
    <w:p w:rsidR="008B4C74" w:rsidRPr="00107CD4" w:rsidRDefault="008B4C74" w:rsidP="0029389D">
      <w:pPr>
        <w:pStyle w:val="ListParagraph"/>
        <w:rPr>
          <w:color w:val="auto"/>
        </w:rPr>
      </w:pPr>
      <w:r w:rsidRPr="00107CD4">
        <w:rPr>
          <w:color w:val="auto"/>
        </w:rPr>
        <w:t xml:space="preserve">As the Council has no established practice of operating single Cabinet Member decisions </w:t>
      </w:r>
      <w:r w:rsidR="00A063A5" w:rsidRPr="00107CD4">
        <w:rPr>
          <w:color w:val="auto"/>
        </w:rPr>
        <w:t xml:space="preserve">it is considered prudent to include in the business continuity version of </w:t>
      </w:r>
      <w:r w:rsidRPr="00107CD4">
        <w:rPr>
          <w:color w:val="auto"/>
        </w:rPr>
        <w:t>the Constitution t</w:t>
      </w:r>
      <w:r w:rsidR="00BF440F" w:rsidRPr="00107CD4">
        <w:rPr>
          <w:color w:val="auto"/>
        </w:rPr>
        <w:t xml:space="preserve">he process </w:t>
      </w:r>
      <w:r w:rsidRPr="00107CD4">
        <w:rPr>
          <w:color w:val="auto"/>
        </w:rPr>
        <w:t xml:space="preserve">for how </w:t>
      </w:r>
      <w:r w:rsidR="00A063A5" w:rsidRPr="00107CD4">
        <w:rPr>
          <w:color w:val="auto"/>
        </w:rPr>
        <w:t xml:space="preserve">any </w:t>
      </w:r>
      <w:r w:rsidRPr="00107CD4">
        <w:rPr>
          <w:color w:val="auto"/>
        </w:rPr>
        <w:t>s</w:t>
      </w:r>
      <w:r w:rsidR="00A063A5" w:rsidRPr="00107CD4">
        <w:rPr>
          <w:color w:val="auto"/>
        </w:rPr>
        <w:t>uch decisions would</w:t>
      </w:r>
      <w:r w:rsidRPr="00107CD4">
        <w:rPr>
          <w:color w:val="auto"/>
        </w:rPr>
        <w:t xml:space="preserve"> be taken, including </w:t>
      </w:r>
      <w:r w:rsidR="00004B67" w:rsidRPr="00107CD4">
        <w:rPr>
          <w:color w:val="auto"/>
        </w:rPr>
        <w:t>a requirement</w:t>
      </w:r>
      <w:r w:rsidRPr="00107CD4">
        <w:rPr>
          <w:color w:val="auto"/>
        </w:rPr>
        <w:t xml:space="preserve"> </w:t>
      </w:r>
      <w:r w:rsidR="00004B67" w:rsidRPr="00107CD4">
        <w:rPr>
          <w:color w:val="auto"/>
        </w:rPr>
        <w:t xml:space="preserve">that decisions are informed by </w:t>
      </w:r>
      <w:r w:rsidRPr="00107CD4">
        <w:rPr>
          <w:color w:val="auto"/>
        </w:rPr>
        <w:t xml:space="preserve">written </w:t>
      </w:r>
      <w:r w:rsidR="00004B67" w:rsidRPr="00107CD4">
        <w:rPr>
          <w:color w:val="auto"/>
        </w:rPr>
        <w:t xml:space="preserve">reports, timescales and provisions for </w:t>
      </w:r>
      <w:r w:rsidRPr="00107CD4">
        <w:rPr>
          <w:color w:val="auto"/>
        </w:rPr>
        <w:t>openness and conflict of interests.</w:t>
      </w:r>
    </w:p>
    <w:p w:rsidR="009C3E1E" w:rsidRPr="00107CD4" w:rsidRDefault="009C3E1E" w:rsidP="0029389D">
      <w:pPr>
        <w:pStyle w:val="ListParagraph"/>
        <w:rPr>
          <w:color w:val="auto"/>
        </w:rPr>
      </w:pPr>
      <w:r w:rsidRPr="00107CD4">
        <w:rPr>
          <w:color w:val="auto"/>
        </w:rPr>
        <w:t>It is recommended that the call in procedure</w:t>
      </w:r>
      <w:r w:rsidR="00D41F33" w:rsidRPr="00107CD4">
        <w:rPr>
          <w:color w:val="auto"/>
        </w:rPr>
        <w:t xml:space="preserve"> for executive decisions </w:t>
      </w:r>
      <w:r w:rsidRPr="00107CD4">
        <w:rPr>
          <w:color w:val="auto"/>
        </w:rPr>
        <w:t>is temporarily suspended while it is not possible to convene a meeting t</w:t>
      </w:r>
      <w:r w:rsidR="00D41F33" w:rsidRPr="00107CD4">
        <w:rPr>
          <w:color w:val="auto"/>
        </w:rPr>
        <w:t>o hear a</w:t>
      </w:r>
      <w:r w:rsidRPr="00107CD4">
        <w:rPr>
          <w:color w:val="auto"/>
        </w:rPr>
        <w:t xml:space="preserve"> call in</w:t>
      </w:r>
      <w:r w:rsidR="006A3C9D" w:rsidRPr="00107CD4">
        <w:rPr>
          <w:color w:val="auto"/>
        </w:rPr>
        <w:t>. This applies to Cabinet-level decisions</w:t>
      </w:r>
      <w:r w:rsidR="00A063A5" w:rsidRPr="00107CD4">
        <w:rPr>
          <w:color w:val="auto"/>
        </w:rPr>
        <w:t>,</w:t>
      </w:r>
      <w:r w:rsidR="006A3C9D" w:rsidRPr="00107CD4">
        <w:rPr>
          <w:color w:val="auto"/>
        </w:rPr>
        <w:t xml:space="preserve"> key decisions </w:t>
      </w:r>
      <w:r w:rsidR="00A063A5" w:rsidRPr="00107CD4">
        <w:rPr>
          <w:color w:val="auto"/>
        </w:rPr>
        <w:t>delegated to</w:t>
      </w:r>
      <w:r w:rsidR="006A3C9D" w:rsidRPr="00107CD4">
        <w:rPr>
          <w:color w:val="auto"/>
        </w:rPr>
        <w:t xml:space="preserve"> officers </w:t>
      </w:r>
      <w:r w:rsidR="00A063A5" w:rsidRPr="00107CD4">
        <w:rPr>
          <w:color w:val="auto"/>
        </w:rPr>
        <w:t>and ward member spend. Any call i</w:t>
      </w:r>
      <w:r w:rsidR="00BF440F" w:rsidRPr="00107CD4">
        <w:rPr>
          <w:color w:val="auto"/>
        </w:rPr>
        <w:t xml:space="preserve">n </w:t>
      </w:r>
      <w:r w:rsidR="00A063A5" w:rsidRPr="00107CD4">
        <w:rPr>
          <w:color w:val="auto"/>
        </w:rPr>
        <w:t>of an execut</w:t>
      </w:r>
      <w:r w:rsidR="00004B67" w:rsidRPr="00107CD4">
        <w:rPr>
          <w:color w:val="auto"/>
        </w:rPr>
        <w:t>ive decision while meetings can</w:t>
      </w:r>
      <w:r w:rsidR="00A063A5" w:rsidRPr="00107CD4">
        <w:rPr>
          <w:color w:val="auto"/>
        </w:rPr>
        <w:t xml:space="preserve">not be </w:t>
      </w:r>
      <w:r w:rsidR="00A063A5" w:rsidRPr="00107CD4">
        <w:rPr>
          <w:color w:val="auto"/>
        </w:rPr>
        <w:lastRenderedPageBreak/>
        <w:t>convened woul</w:t>
      </w:r>
      <w:r w:rsidR="00BF440F" w:rsidRPr="00107CD4">
        <w:rPr>
          <w:color w:val="auto"/>
        </w:rPr>
        <w:t xml:space="preserve">d serve to delay the implementation </w:t>
      </w:r>
      <w:r w:rsidR="00A063A5" w:rsidRPr="00107CD4">
        <w:rPr>
          <w:color w:val="auto"/>
        </w:rPr>
        <w:t>of the</w:t>
      </w:r>
      <w:r w:rsidR="006A3C9D" w:rsidRPr="00107CD4">
        <w:rPr>
          <w:color w:val="auto"/>
        </w:rPr>
        <w:t xml:space="preserve"> </w:t>
      </w:r>
      <w:r w:rsidR="00BF440F" w:rsidRPr="00107CD4">
        <w:rPr>
          <w:color w:val="auto"/>
        </w:rPr>
        <w:t>decision for an indefinite period</w:t>
      </w:r>
      <w:r w:rsidR="006A3C9D" w:rsidRPr="00107CD4">
        <w:rPr>
          <w:color w:val="auto"/>
        </w:rPr>
        <w:t xml:space="preserve"> which may have detrimental imp</w:t>
      </w:r>
      <w:r w:rsidR="00004B67" w:rsidRPr="00107CD4">
        <w:rPr>
          <w:color w:val="auto"/>
        </w:rPr>
        <w:t>acts on</w:t>
      </w:r>
      <w:r w:rsidR="006A3C9D" w:rsidRPr="00107CD4">
        <w:rPr>
          <w:color w:val="auto"/>
        </w:rPr>
        <w:t xml:space="preserve"> the Council</w:t>
      </w:r>
      <w:r w:rsidR="00A063A5" w:rsidRPr="00107CD4">
        <w:rPr>
          <w:color w:val="auto"/>
        </w:rPr>
        <w:t xml:space="preserve"> and communities in the city</w:t>
      </w:r>
      <w:r w:rsidR="00D41F33" w:rsidRPr="00107CD4">
        <w:rPr>
          <w:color w:val="auto"/>
        </w:rPr>
        <w:t>.</w:t>
      </w:r>
      <w:r w:rsidR="00A063A5" w:rsidRPr="00107CD4">
        <w:rPr>
          <w:color w:val="auto"/>
        </w:rPr>
        <w:t xml:space="preserve"> It is envisaged that member visibility of ward member spend would continue through weekly emails to all members albeit without the ability for members to call in particular allocations.</w:t>
      </w:r>
      <w:r w:rsidR="00D41F33" w:rsidRPr="00107CD4">
        <w:rPr>
          <w:color w:val="auto"/>
        </w:rPr>
        <w:t xml:space="preserve"> </w:t>
      </w:r>
    </w:p>
    <w:p w:rsidR="008B4C74" w:rsidRPr="00107CD4" w:rsidRDefault="008B4C74" w:rsidP="004A6D2F">
      <w:pPr>
        <w:pStyle w:val="Heading1"/>
        <w:rPr>
          <w:color w:val="auto"/>
        </w:rPr>
      </w:pPr>
      <w:r w:rsidRPr="00107CD4">
        <w:rPr>
          <w:color w:val="auto"/>
        </w:rPr>
        <w:t>Planning</w:t>
      </w:r>
    </w:p>
    <w:p w:rsidR="008B4C74" w:rsidRPr="00107CD4" w:rsidRDefault="008B4C74" w:rsidP="008B4C74">
      <w:pPr>
        <w:pStyle w:val="ListParagraph"/>
        <w:rPr>
          <w:color w:val="auto"/>
        </w:rPr>
      </w:pPr>
      <w:r w:rsidRPr="00107CD4">
        <w:rPr>
          <w:color w:val="auto"/>
        </w:rPr>
        <w:t xml:space="preserve">To enable </w:t>
      </w:r>
      <w:r w:rsidR="00136162" w:rsidRPr="00107CD4">
        <w:rPr>
          <w:color w:val="auto"/>
        </w:rPr>
        <w:t xml:space="preserve">the determination of </w:t>
      </w:r>
      <w:r w:rsidRPr="00107CD4">
        <w:rPr>
          <w:color w:val="auto"/>
        </w:rPr>
        <w:t xml:space="preserve">planning applications </w:t>
      </w:r>
      <w:r w:rsidR="00136162" w:rsidRPr="00107CD4">
        <w:rPr>
          <w:color w:val="auto"/>
        </w:rPr>
        <w:t>until such a time as meetings can be convened it is recommended that all planning decis</w:t>
      </w:r>
      <w:r w:rsidR="00EA130B" w:rsidRPr="00107CD4">
        <w:rPr>
          <w:color w:val="auto"/>
        </w:rPr>
        <w:t>ions currently reserved to area</w:t>
      </w:r>
      <w:r w:rsidR="00136162" w:rsidRPr="00107CD4">
        <w:rPr>
          <w:color w:val="auto"/>
        </w:rPr>
        <w:t xml:space="preserve"> planning committee </w:t>
      </w:r>
      <w:r w:rsidR="003136B4" w:rsidRPr="00107CD4">
        <w:rPr>
          <w:color w:val="auto"/>
        </w:rPr>
        <w:t xml:space="preserve">be </w:t>
      </w:r>
      <w:r w:rsidR="00004B67" w:rsidRPr="00107CD4">
        <w:rPr>
          <w:color w:val="auto"/>
        </w:rPr>
        <w:t xml:space="preserve">temporarily </w:t>
      </w:r>
      <w:r w:rsidR="00136162" w:rsidRPr="00107CD4">
        <w:rPr>
          <w:color w:val="auto"/>
        </w:rPr>
        <w:t>delegated to the Head of Planning Service</w:t>
      </w:r>
      <w:r w:rsidR="00915633">
        <w:rPr>
          <w:color w:val="auto"/>
        </w:rPr>
        <w:t>s</w:t>
      </w:r>
      <w:r w:rsidR="00136162" w:rsidRPr="00107CD4">
        <w:rPr>
          <w:color w:val="auto"/>
        </w:rPr>
        <w:t>. In determining such applications the Head of Planning Services w</w:t>
      </w:r>
      <w:r w:rsidR="00004B67" w:rsidRPr="00107CD4">
        <w:rPr>
          <w:color w:val="auto"/>
        </w:rPr>
        <w:t xml:space="preserve">ould </w:t>
      </w:r>
      <w:r w:rsidR="00136162" w:rsidRPr="00107CD4">
        <w:rPr>
          <w:color w:val="auto"/>
        </w:rPr>
        <w:t xml:space="preserve">follow a protocol </w:t>
      </w:r>
      <w:r w:rsidR="00004B67" w:rsidRPr="00107CD4">
        <w:rPr>
          <w:color w:val="auto"/>
        </w:rPr>
        <w:t>(</w:t>
      </w:r>
      <w:r w:rsidR="00136162" w:rsidRPr="00107CD4">
        <w:rPr>
          <w:color w:val="auto"/>
        </w:rPr>
        <w:t>attached as Appendix 2</w:t>
      </w:r>
      <w:r w:rsidR="00004B67" w:rsidRPr="00107CD4">
        <w:rPr>
          <w:color w:val="auto"/>
        </w:rPr>
        <w:t>)</w:t>
      </w:r>
      <w:r w:rsidR="00136162" w:rsidRPr="00107CD4">
        <w:rPr>
          <w:color w:val="auto"/>
        </w:rPr>
        <w:t xml:space="preserve"> which makes provisions for</w:t>
      </w:r>
      <w:r w:rsidR="009C3E1E" w:rsidRPr="00107CD4">
        <w:rPr>
          <w:color w:val="auto"/>
        </w:rPr>
        <w:t xml:space="preserve"> public information packs,</w:t>
      </w:r>
      <w:r w:rsidR="00136162" w:rsidRPr="00107CD4">
        <w:rPr>
          <w:color w:val="auto"/>
        </w:rPr>
        <w:t xml:space="preserve"> consultation with a committee chair or vice chair as a minimum and a mechanism for members to submit comments</w:t>
      </w:r>
      <w:r w:rsidR="009C3E1E" w:rsidRPr="00107CD4">
        <w:rPr>
          <w:color w:val="auto"/>
        </w:rPr>
        <w:t xml:space="preserve"> within strict deadlines</w:t>
      </w:r>
      <w:r w:rsidR="00136162" w:rsidRPr="00107CD4">
        <w:rPr>
          <w:color w:val="auto"/>
        </w:rPr>
        <w:t>.</w:t>
      </w:r>
      <w:r w:rsidRPr="00107CD4">
        <w:rPr>
          <w:color w:val="auto"/>
        </w:rPr>
        <w:t xml:space="preserve"> </w:t>
      </w:r>
    </w:p>
    <w:p w:rsidR="00136162" w:rsidRDefault="00136162" w:rsidP="009C3E1E">
      <w:pPr>
        <w:pStyle w:val="ListParagraph"/>
      </w:pPr>
      <w:r w:rsidRPr="00107CD4">
        <w:rPr>
          <w:color w:val="auto"/>
        </w:rPr>
        <w:t>It is als</w:t>
      </w:r>
      <w:r w:rsidR="009C3E1E" w:rsidRPr="00107CD4">
        <w:rPr>
          <w:color w:val="auto"/>
        </w:rPr>
        <w:t xml:space="preserve">o recommended that </w:t>
      </w:r>
      <w:r w:rsidR="00915633">
        <w:rPr>
          <w:color w:val="auto"/>
        </w:rPr>
        <w:t>there will temporarily be no</w:t>
      </w:r>
      <w:r w:rsidR="009C3E1E" w:rsidRPr="00107CD4">
        <w:rPr>
          <w:color w:val="auto"/>
        </w:rPr>
        <w:t xml:space="preserve"> call-in, either of applications</w:t>
      </w:r>
      <w:r w:rsidR="00915633">
        <w:rPr>
          <w:color w:val="auto"/>
        </w:rPr>
        <w:t xml:space="preserve"> from the weekly planning list</w:t>
      </w:r>
      <w:r w:rsidR="009C3E1E" w:rsidRPr="00107CD4">
        <w:rPr>
          <w:color w:val="auto"/>
        </w:rPr>
        <w:t xml:space="preserve"> to </w:t>
      </w:r>
      <w:r w:rsidR="00915633">
        <w:rPr>
          <w:color w:val="auto"/>
        </w:rPr>
        <w:t xml:space="preserve">area </w:t>
      </w:r>
      <w:r w:rsidR="009C3E1E" w:rsidRPr="00107CD4">
        <w:rPr>
          <w:color w:val="auto"/>
        </w:rPr>
        <w:t xml:space="preserve">planning committees, or of decisions </w:t>
      </w:r>
      <w:r w:rsidR="00915633">
        <w:t>of</w:t>
      </w:r>
      <w:r w:rsidR="009C3E1E">
        <w:t xml:space="preserve"> area committees to the Planning Review C</w:t>
      </w:r>
      <w:r w:rsidR="00D41F33">
        <w:t>ommittee</w:t>
      </w:r>
      <w:r w:rsidR="00915633">
        <w:t>,</w:t>
      </w:r>
      <w:r w:rsidR="00D41F33">
        <w:t xml:space="preserve"> until such a time as meetings can be convened.</w:t>
      </w:r>
      <w:r w:rsidR="00EA130B">
        <w:t xml:space="preserve"> It is not possible to operate an effective </w:t>
      </w:r>
      <w:r w:rsidR="00004B67">
        <w:t xml:space="preserve">call in or </w:t>
      </w:r>
      <w:r w:rsidR="00EA130B">
        <w:t>review process where there is no higher body that c</w:t>
      </w:r>
      <w:r w:rsidR="00004B67">
        <w:t xml:space="preserve">ould </w:t>
      </w:r>
      <w:r w:rsidR="00EA130B">
        <w:t xml:space="preserve">independently review </w:t>
      </w:r>
      <w:r w:rsidR="00004B67">
        <w:t xml:space="preserve">the </w:t>
      </w:r>
      <w:r w:rsidR="00EA130B">
        <w:t>decisions</w:t>
      </w:r>
      <w:r w:rsidR="00004B67">
        <w:t xml:space="preserve"> of the Head of Planning Services</w:t>
      </w:r>
      <w:r w:rsidR="00EA130B">
        <w:t>.</w:t>
      </w:r>
    </w:p>
    <w:p w:rsidR="000955C5" w:rsidRDefault="000955C5" w:rsidP="004A6D2F">
      <w:pPr>
        <w:pStyle w:val="Heading1"/>
      </w:pPr>
      <w:r>
        <w:t>Licensing</w:t>
      </w:r>
    </w:p>
    <w:p w:rsidR="00004B67" w:rsidRDefault="000955C5" w:rsidP="000955C5">
      <w:pPr>
        <w:pStyle w:val="ListParagraph"/>
      </w:pPr>
      <w:r>
        <w:t xml:space="preserve">To enable the determination of licensing applications until such a time as meetings can be convened it is recommended that all licensing decisions currently reserved to licensing committees and sub-committees be delegated to the Head of Regulatory Services and Community Safety. </w:t>
      </w:r>
      <w:r w:rsidR="00004B67">
        <w:t>This includes</w:t>
      </w:r>
      <w:r w:rsidR="00DA0A2B">
        <w:t xml:space="preserve"> taxi and</w:t>
      </w:r>
      <w:r w:rsidR="003535B4">
        <w:t xml:space="preserve"> private hire vehicle licensing and the licensing of alcohol, entertainment and late night refreshments, sex establishments and gambling.</w:t>
      </w:r>
    </w:p>
    <w:p w:rsidR="000955C5" w:rsidRPr="000955C5" w:rsidRDefault="000955C5" w:rsidP="003535B4">
      <w:pPr>
        <w:pStyle w:val="ListParagraph"/>
      </w:pPr>
      <w:r>
        <w:t xml:space="preserve">The exception would be the determination of any </w:t>
      </w:r>
      <w:r w:rsidR="003535B4">
        <w:t xml:space="preserve">premises license </w:t>
      </w:r>
      <w:r>
        <w:t xml:space="preserve">application </w:t>
      </w:r>
      <w:r w:rsidR="003535B4">
        <w:t xml:space="preserve">under the </w:t>
      </w:r>
      <w:r w:rsidR="003535B4" w:rsidRPr="003535B4">
        <w:t xml:space="preserve">Licensing Act 2003 </w:t>
      </w:r>
      <w:r>
        <w:t xml:space="preserve">where a hearing is required in law and cannot be delegated. Ordinarily such hearings tend to be infrequent and would only proceed if the matter could not be resolved informally. Any such hearings </w:t>
      </w:r>
      <w:r w:rsidR="004C4B17">
        <w:t>would</w:t>
      </w:r>
      <w:r>
        <w:t xml:space="preserve"> </w:t>
      </w:r>
      <w:r w:rsidR="004C4B17">
        <w:t xml:space="preserve">take place once </w:t>
      </w:r>
      <w:r>
        <w:t>rest</w:t>
      </w:r>
      <w:r w:rsidR="004C4B17">
        <w:t xml:space="preserve">rictions have been lifted or remote meetings </w:t>
      </w:r>
      <w:r>
        <w:t>enabled.</w:t>
      </w:r>
    </w:p>
    <w:p w:rsidR="0040736F" w:rsidRPr="001356F1" w:rsidRDefault="002329CF" w:rsidP="004A6D2F">
      <w:pPr>
        <w:pStyle w:val="Heading1"/>
      </w:pPr>
      <w:r w:rsidRPr="001356F1">
        <w:t>Financial implications</w:t>
      </w:r>
    </w:p>
    <w:p w:rsidR="00E87F7A" w:rsidRPr="001356F1" w:rsidRDefault="00E87F7A" w:rsidP="005570B5">
      <w:pPr>
        <w:pStyle w:val="ListParagraph"/>
      </w:pPr>
      <w:r w:rsidRPr="001356F1">
        <w:t>Th</w:t>
      </w:r>
      <w:r w:rsidR="004C4B17">
        <w:t>ere are no financial implications arising directly from the recommendations in this report.</w:t>
      </w:r>
    </w:p>
    <w:p w:rsidR="0040736F" w:rsidRPr="001356F1" w:rsidRDefault="00DA614B" w:rsidP="004A6D2F">
      <w:pPr>
        <w:pStyle w:val="Heading1"/>
      </w:pPr>
      <w:r w:rsidRPr="001356F1">
        <w:t>Legal issues</w:t>
      </w:r>
    </w:p>
    <w:p w:rsidR="00E87F7A" w:rsidRDefault="00E87F7A" w:rsidP="005570B5">
      <w:pPr>
        <w:pStyle w:val="ListParagraph"/>
      </w:pPr>
      <w:r w:rsidRPr="001356F1">
        <w:t>Th</w:t>
      </w:r>
      <w:r w:rsidR="004C4B17">
        <w:t>e legal issues related to local authority meetings and decision making are discussed in this report</w:t>
      </w:r>
      <w:r w:rsidRPr="001356F1">
        <w:t>.</w:t>
      </w:r>
    </w:p>
    <w:p w:rsidR="002329CF" w:rsidRDefault="002329CF" w:rsidP="004A6D2F"/>
    <w:p w:rsidR="00915633" w:rsidRDefault="00915633" w:rsidP="004A6D2F"/>
    <w:p w:rsidR="00915633" w:rsidRDefault="00915633" w:rsidP="004A6D2F"/>
    <w:p w:rsidR="00915633" w:rsidRDefault="00915633" w:rsidP="004A6D2F"/>
    <w:p w:rsidR="00915633" w:rsidRPr="001356F1" w:rsidRDefault="00915633"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4C4B17" w:rsidP="00A46E98">
            <w:r>
              <w:t>Andrew Brown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4C4B17" w:rsidP="00A46E98">
            <w:r>
              <w:t>Committee and Member Services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4C4B17" w:rsidP="00A46E98">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4C4B17" w:rsidP="00A46E98">
            <w:r>
              <w:t>01865 252230</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4C14CC" w:rsidP="004C4B17">
            <w:pPr>
              <w:rPr>
                <w:rStyle w:val="Hyperlink"/>
                <w:color w:val="000000"/>
              </w:rPr>
            </w:pPr>
            <w:hyperlink r:id="rId11" w:history="1">
              <w:r w:rsidR="004C4B17" w:rsidRPr="00DB763D">
                <w:rPr>
                  <w:rStyle w:val="Hyperlink"/>
                </w:rPr>
                <w:t>abrown2@oxford.gov.uk</w:t>
              </w:r>
            </w:hyperlink>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4C4B17">
        <w:tc>
          <w:tcPr>
            <w:tcW w:w="8931" w:type="dxa"/>
            <w:gridSpan w:val="2"/>
            <w:tcBorders>
              <w:top w:val="single" w:sz="4" w:space="0" w:color="auto"/>
              <w:left w:val="single" w:sz="4" w:space="0" w:color="auto"/>
              <w:bottom w:val="nil"/>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r w:rsidR="00DF093E" w:rsidRPr="001356F1" w:rsidTr="004C4B17">
        <w:tc>
          <w:tcPr>
            <w:tcW w:w="567" w:type="dxa"/>
            <w:tcBorders>
              <w:top w:val="nil"/>
              <w:left w:val="single" w:sz="8" w:space="0" w:color="000000"/>
              <w:bottom w:val="single" w:sz="4" w:space="0" w:color="auto"/>
              <w:right w:val="nil"/>
            </w:tcBorders>
            <w:shd w:val="clear" w:color="auto" w:fill="auto"/>
          </w:tcPr>
          <w:p w:rsidR="0093067A" w:rsidRPr="001356F1" w:rsidRDefault="0093067A" w:rsidP="00F41AC1"/>
        </w:tc>
        <w:tc>
          <w:tcPr>
            <w:tcW w:w="8364" w:type="dxa"/>
            <w:tcBorders>
              <w:top w:val="nil"/>
              <w:left w:val="nil"/>
              <w:bottom w:val="single" w:sz="4" w:space="0" w:color="auto"/>
              <w:right w:val="single" w:sz="8" w:space="0" w:color="000000"/>
            </w:tcBorders>
          </w:tcPr>
          <w:p w:rsidR="0093067A" w:rsidRPr="001356F1" w:rsidRDefault="0093067A" w:rsidP="00F41AC1"/>
        </w:tc>
      </w:tr>
    </w:tbl>
    <w:p w:rsidR="00CE4C87" w:rsidRDefault="00CE4C87" w:rsidP="0093067A"/>
    <w:p w:rsidR="004456DD" w:rsidRPr="009E51FC" w:rsidRDefault="004456DD" w:rsidP="0093067A"/>
    <w:sectPr w:rsidR="004456DD" w:rsidRPr="009E51FC"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359" w:rsidRDefault="00277359" w:rsidP="004A6D2F">
      <w:r>
        <w:separator/>
      </w:r>
    </w:p>
  </w:endnote>
  <w:endnote w:type="continuationSeparator" w:id="0">
    <w:p w:rsidR="00277359" w:rsidRDefault="0027735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359" w:rsidRDefault="00277359" w:rsidP="004A6D2F">
      <w:r>
        <w:separator/>
      </w:r>
    </w:p>
  </w:footnote>
  <w:footnote w:type="continuationSeparator" w:id="0">
    <w:p w:rsidR="00277359" w:rsidRDefault="0027735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6278AC0E" wp14:editId="6278AC0F">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62FEA"/>
    <w:multiLevelType w:val="hybridMultilevel"/>
    <w:tmpl w:val="350A4100"/>
    <w:lvl w:ilvl="0" w:tplc="904295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8"/>
  </w:num>
  <w:num w:numId="5">
    <w:abstractNumId w:val="28"/>
  </w:num>
  <w:num w:numId="6">
    <w:abstractNumId w:val="32"/>
  </w:num>
  <w:num w:numId="7">
    <w:abstractNumId w:val="22"/>
  </w:num>
  <w:num w:numId="8">
    <w:abstractNumId w:val="20"/>
  </w:num>
  <w:num w:numId="9">
    <w:abstractNumId w:val="13"/>
  </w:num>
  <w:num w:numId="10">
    <w:abstractNumId w:val="15"/>
  </w:num>
  <w:num w:numId="11">
    <w:abstractNumId w:val="25"/>
  </w:num>
  <w:num w:numId="12">
    <w:abstractNumId w:val="24"/>
  </w:num>
  <w:num w:numId="13">
    <w:abstractNumId w:val="10"/>
  </w:num>
  <w:num w:numId="14">
    <w:abstractNumId w:val="33"/>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58"/>
    <w:rsid w:val="00004B67"/>
    <w:rsid w:val="000117D4"/>
    <w:rsid w:val="000314D7"/>
    <w:rsid w:val="00045F8B"/>
    <w:rsid w:val="00046D2B"/>
    <w:rsid w:val="00050348"/>
    <w:rsid w:val="00056263"/>
    <w:rsid w:val="00064D8A"/>
    <w:rsid w:val="00064F82"/>
    <w:rsid w:val="00066510"/>
    <w:rsid w:val="00077523"/>
    <w:rsid w:val="000955C5"/>
    <w:rsid w:val="000C089F"/>
    <w:rsid w:val="000C3928"/>
    <w:rsid w:val="000C5E8E"/>
    <w:rsid w:val="000D5E7F"/>
    <w:rsid w:val="000F4751"/>
    <w:rsid w:val="000F5189"/>
    <w:rsid w:val="0010524C"/>
    <w:rsid w:val="00107CD4"/>
    <w:rsid w:val="00111FB1"/>
    <w:rsid w:val="00113418"/>
    <w:rsid w:val="001356F1"/>
    <w:rsid w:val="00136162"/>
    <w:rsid w:val="00136994"/>
    <w:rsid w:val="0014128E"/>
    <w:rsid w:val="00151888"/>
    <w:rsid w:val="001638B5"/>
    <w:rsid w:val="00170A2D"/>
    <w:rsid w:val="001752AD"/>
    <w:rsid w:val="001808BC"/>
    <w:rsid w:val="00182B81"/>
    <w:rsid w:val="0018619D"/>
    <w:rsid w:val="001A011E"/>
    <w:rsid w:val="001A066A"/>
    <w:rsid w:val="001A13E6"/>
    <w:rsid w:val="001A5731"/>
    <w:rsid w:val="001B42C3"/>
    <w:rsid w:val="001C235A"/>
    <w:rsid w:val="001C5D5E"/>
    <w:rsid w:val="001D678D"/>
    <w:rsid w:val="001E03F8"/>
    <w:rsid w:val="001E1678"/>
    <w:rsid w:val="001E3376"/>
    <w:rsid w:val="002069B3"/>
    <w:rsid w:val="00221CB7"/>
    <w:rsid w:val="0023029B"/>
    <w:rsid w:val="002329CF"/>
    <w:rsid w:val="00232F5B"/>
    <w:rsid w:val="00247C29"/>
    <w:rsid w:val="00254EFA"/>
    <w:rsid w:val="00260467"/>
    <w:rsid w:val="00263EA3"/>
    <w:rsid w:val="00277359"/>
    <w:rsid w:val="00284F85"/>
    <w:rsid w:val="00290915"/>
    <w:rsid w:val="0029389D"/>
    <w:rsid w:val="002A22E2"/>
    <w:rsid w:val="002C64F7"/>
    <w:rsid w:val="002E1479"/>
    <w:rsid w:val="002F41F2"/>
    <w:rsid w:val="002F6B07"/>
    <w:rsid w:val="002F7701"/>
    <w:rsid w:val="00301BF3"/>
    <w:rsid w:val="0030208D"/>
    <w:rsid w:val="003136B4"/>
    <w:rsid w:val="00323418"/>
    <w:rsid w:val="00325558"/>
    <w:rsid w:val="003357BF"/>
    <w:rsid w:val="00341B6C"/>
    <w:rsid w:val="003519CF"/>
    <w:rsid w:val="003535B4"/>
    <w:rsid w:val="00364FAD"/>
    <w:rsid w:val="0036738F"/>
    <w:rsid w:val="0036759C"/>
    <w:rsid w:val="00367AE5"/>
    <w:rsid w:val="00367D71"/>
    <w:rsid w:val="0038150A"/>
    <w:rsid w:val="003B6E75"/>
    <w:rsid w:val="003B7DA1"/>
    <w:rsid w:val="003D0379"/>
    <w:rsid w:val="003D2574"/>
    <w:rsid w:val="003D4C59"/>
    <w:rsid w:val="003F14A7"/>
    <w:rsid w:val="003F4267"/>
    <w:rsid w:val="00404032"/>
    <w:rsid w:val="0040736F"/>
    <w:rsid w:val="00412C1F"/>
    <w:rsid w:val="00421CB2"/>
    <w:rsid w:val="004268B9"/>
    <w:rsid w:val="00433B96"/>
    <w:rsid w:val="004440F1"/>
    <w:rsid w:val="004456DD"/>
    <w:rsid w:val="00446CDF"/>
    <w:rsid w:val="004521B7"/>
    <w:rsid w:val="00460761"/>
    <w:rsid w:val="00462AB5"/>
    <w:rsid w:val="00465EAF"/>
    <w:rsid w:val="004738C5"/>
    <w:rsid w:val="00491046"/>
    <w:rsid w:val="004A2AC7"/>
    <w:rsid w:val="004A6D2F"/>
    <w:rsid w:val="004C14CC"/>
    <w:rsid w:val="004C2887"/>
    <w:rsid w:val="004C4B17"/>
    <w:rsid w:val="004D2626"/>
    <w:rsid w:val="004D6E26"/>
    <w:rsid w:val="004D77D3"/>
    <w:rsid w:val="004E2959"/>
    <w:rsid w:val="004F20EF"/>
    <w:rsid w:val="0050321C"/>
    <w:rsid w:val="0054712D"/>
    <w:rsid w:val="00547EF6"/>
    <w:rsid w:val="00553F02"/>
    <w:rsid w:val="005570B5"/>
    <w:rsid w:val="00567E18"/>
    <w:rsid w:val="00575F5F"/>
    <w:rsid w:val="00581805"/>
    <w:rsid w:val="00585F76"/>
    <w:rsid w:val="005A34E4"/>
    <w:rsid w:val="005B17F2"/>
    <w:rsid w:val="005B7FB0"/>
    <w:rsid w:val="005C35A5"/>
    <w:rsid w:val="005C4663"/>
    <w:rsid w:val="005C577C"/>
    <w:rsid w:val="005D0621"/>
    <w:rsid w:val="005D1E27"/>
    <w:rsid w:val="005D2A3E"/>
    <w:rsid w:val="005D33EF"/>
    <w:rsid w:val="005E022E"/>
    <w:rsid w:val="005E5215"/>
    <w:rsid w:val="005F709B"/>
    <w:rsid w:val="005F7F7E"/>
    <w:rsid w:val="00614693"/>
    <w:rsid w:val="00616F80"/>
    <w:rsid w:val="00623C2F"/>
    <w:rsid w:val="00625304"/>
    <w:rsid w:val="00633578"/>
    <w:rsid w:val="00637068"/>
    <w:rsid w:val="00650811"/>
    <w:rsid w:val="00661D3E"/>
    <w:rsid w:val="006870CE"/>
    <w:rsid w:val="00692627"/>
    <w:rsid w:val="006969E7"/>
    <w:rsid w:val="006A3643"/>
    <w:rsid w:val="006A3C9D"/>
    <w:rsid w:val="006C2A29"/>
    <w:rsid w:val="006C64CF"/>
    <w:rsid w:val="006D17B1"/>
    <w:rsid w:val="006D4752"/>
    <w:rsid w:val="006D708A"/>
    <w:rsid w:val="006E14C1"/>
    <w:rsid w:val="006F0292"/>
    <w:rsid w:val="006F27FA"/>
    <w:rsid w:val="006F416B"/>
    <w:rsid w:val="006F519B"/>
    <w:rsid w:val="00713675"/>
    <w:rsid w:val="00715823"/>
    <w:rsid w:val="00731BA0"/>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46902"/>
    <w:rsid w:val="008478C8"/>
    <w:rsid w:val="00855C66"/>
    <w:rsid w:val="0086340F"/>
    <w:rsid w:val="00871EE4"/>
    <w:rsid w:val="008B293F"/>
    <w:rsid w:val="008B4C74"/>
    <w:rsid w:val="008B7371"/>
    <w:rsid w:val="008D3DDB"/>
    <w:rsid w:val="008D4AB6"/>
    <w:rsid w:val="008F573F"/>
    <w:rsid w:val="009034EC"/>
    <w:rsid w:val="00915633"/>
    <w:rsid w:val="0093067A"/>
    <w:rsid w:val="00941C60"/>
    <w:rsid w:val="00941FD1"/>
    <w:rsid w:val="009515C4"/>
    <w:rsid w:val="00966D42"/>
    <w:rsid w:val="00971689"/>
    <w:rsid w:val="00973E90"/>
    <w:rsid w:val="00975B07"/>
    <w:rsid w:val="00980B4A"/>
    <w:rsid w:val="00991EBE"/>
    <w:rsid w:val="009C3E1E"/>
    <w:rsid w:val="009E3D0A"/>
    <w:rsid w:val="009E51FC"/>
    <w:rsid w:val="009F1D28"/>
    <w:rsid w:val="009F7618"/>
    <w:rsid w:val="00A04D23"/>
    <w:rsid w:val="00A063A5"/>
    <w:rsid w:val="00A06766"/>
    <w:rsid w:val="00A13765"/>
    <w:rsid w:val="00A21B12"/>
    <w:rsid w:val="00A23F80"/>
    <w:rsid w:val="00A46E98"/>
    <w:rsid w:val="00A6352B"/>
    <w:rsid w:val="00A701B5"/>
    <w:rsid w:val="00A714BB"/>
    <w:rsid w:val="00A77147"/>
    <w:rsid w:val="00A92D8F"/>
    <w:rsid w:val="00AB2988"/>
    <w:rsid w:val="00AB408B"/>
    <w:rsid w:val="00AB7999"/>
    <w:rsid w:val="00AC63A5"/>
    <w:rsid w:val="00AD3292"/>
    <w:rsid w:val="00AE7AF0"/>
    <w:rsid w:val="00B500CA"/>
    <w:rsid w:val="00B86314"/>
    <w:rsid w:val="00BA1C2E"/>
    <w:rsid w:val="00BB19B5"/>
    <w:rsid w:val="00BC200B"/>
    <w:rsid w:val="00BC4756"/>
    <w:rsid w:val="00BC69A4"/>
    <w:rsid w:val="00BE0680"/>
    <w:rsid w:val="00BE305F"/>
    <w:rsid w:val="00BE7BA3"/>
    <w:rsid w:val="00BF440F"/>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A232B"/>
    <w:rsid w:val="00CB6B99"/>
    <w:rsid w:val="00CE4C87"/>
    <w:rsid w:val="00CE544A"/>
    <w:rsid w:val="00D11E1C"/>
    <w:rsid w:val="00D160B0"/>
    <w:rsid w:val="00D17F94"/>
    <w:rsid w:val="00D223FC"/>
    <w:rsid w:val="00D26D1E"/>
    <w:rsid w:val="00D41F33"/>
    <w:rsid w:val="00D474CF"/>
    <w:rsid w:val="00D546B8"/>
    <w:rsid w:val="00D5547E"/>
    <w:rsid w:val="00D860E2"/>
    <w:rsid w:val="00D869A1"/>
    <w:rsid w:val="00D96CE7"/>
    <w:rsid w:val="00DA0A2B"/>
    <w:rsid w:val="00DA413F"/>
    <w:rsid w:val="00DA4584"/>
    <w:rsid w:val="00DA614B"/>
    <w:rsid w:val="00DB7AD7"/>
    <w:rsid w:val="00DC3060"/>
    <w:rsid w:val="00DE0FB2"/>
    <w:rsid w:val="00DF093E"/>
    <w:rsid w:val="00E01F42"/>
    <w:rsid w:val="00E206D6"/>
    <w:rsid w:val="00E3366E"/>
    <w:rsid w:val="00E41FC6"/>
    <w:rsid w:val="00E52086"/>
    <w:rsid w:val="00E543A6"/>
    <w:rsid w:val="00E60479"/>
    <w:rsid w:val="00E61D73"/>
    <w:rsid w:val="00E73684"/>
    <w:rsid w:val="00E818D6"/>
    <w:rsid w:val="00E87F7A"/>
    <w:rsid w:val="00E94B3E"/>
    <w:rsid w:val="00E96BD7"/>
    <w:rsid w:val="00EA0DB1"/>
    <w:rsid w:val="00EA0EE9"/>
    <w:rsid w:val="00EA130B"/>
    <w:rsid w:val="00EB5C4D"/>
    <w:rsid w:val="00ED52CA"/>
    <w:rsid w:val="00ED5860"/>
    <w:rsid w:val="00EE35C9"/>
    <w:rsid w:val="00EF6B4F"/>
    <w:rsid w:val="00F05ECA"/>
    <w:rsid w:val="00F26429"/>
    <w:rsid w:val="00F304CF"/>
    <w:rsid w:val="00F3566E"/>
    <w:rsid w:val="00F375FB"/>
    <w:rsid w:val="00F41AC1"/>
    <w:rsid w:val="00F4367A"/>
    <w:rsid w:val="00F445B1"/>
    <w:rsid w:val="00F45CD4"/>
    <w:rsid w:val="00F66DCA"/>
    <w:rsid w:val="00F74F53"/>
    <w:rsid w:val="00F7606D"/>
    <w:rsid w:val="00F81670"/>
    <w:rsid w:val="00F82024"/>
    <w:rsid w:val="00F95BC9"/>
    <w:rsid w:val="00FA2D52"/>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2B30712-20EC-4389-91E8-D9246DD4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rown2@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db8f1d2-729e-4e17-b922-d1876d49c6d9"/>
    <ds:schemaRef ds:uri="http://www.w3.org/XML/1998/namespace"/>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8066F-9E16-49CD-96D0-A6D0E752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6BF53EF0</Template>
  <TotalTime>11</TotalTime>
  <Pages>5</Pages>
  <Words>1668</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abrown2</dc:creator>
  <cp:lastModifiedBy>BROWN Andrew J</cp:lastModifiedBy>
  <cp:revision>5</cp:revision>
  <cp:lastPrinted>2015-07-03T12:50:00Z</cp:lastPrinted>
  <dcterms:created xsi:type="dcterms:W3CDTF">2020-03-26T18:11:00Z</dcterms:created>
  <dcterms:modified xsi:type="dcterms:W3CDTF">2020-04-02T13:38:00Z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